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media/image2.wmf" ContentType="image/x-wmf"/>
  <Override PartName="/word/media/image3.wmf" ContentType="image/x-wmf"/>
  <Override PartName="/word/media/image4.wmf" ContentType="image/x-wmf"/>
  <Override PartName="/word/media/image5.png" ContentType="image/png"/>
  <Override PartName="/word/media/image6.wmf" ContentType="image/x-wmf"/>
  <Override PartName="/word/media/image7.wmf" ContentType="image/x-wmf"/>
  <Override PartName="/word/media/image8.png" ContentType="image/png"/>
  <Override PartName="/word/media/image9.png" ContentType="image/png"/>
  <Override PartName="/word/media/image10.png" ContentType="image/png"/>
  <Override PartName="/word/media/image11.png" ContentType="image/png"/>
  <Override PartName="/word/media/image12.png" ContentType="image/png"/>
  <Override PartName="/word/media/image13.wmf" ContentType="image/x-wmf"/>
  <Override PartName="/word/media/image14.png" ContentType="image/png"/>
  <Override PartName="/word/embeddings/oleObject1.xls" ContentType="application/vnd.ms-excel"/>
  <Override PartName="/word/embeddings/oleObject2.xls" ContentType="application/vnd.ms-excel"/>
  <Override PartName="/word/embeddings/oleObject3.xls" ContentType="application/vnd.ms-excel"/>
  <Override PartName="/word/embeddings/oleObject4.xls" ContentType="application/vnd.ms-excel"/>
  <Override PartName="/word/embeddings/oleObject5.xls" ContentType="application/vnd.ms-excel"/>
  <Override PartName="/word/embeddings/oleObject6.xls" ContentType="application/vnd.ms-exce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yle15"/>
        <w:jc w:val="center"/>
        <w:rPr>
          <w:rFonts w:ascii="Times New Roman" w:hAnsi="Times New Roman" w:eastAsia="Times New Roman" w:cs="Times New Roman"/>
          <w:b/>
          <w:b/>
          <w:color w:val="auto"/>
          <w:kern w:val="0"/>
          <w:sz w:val="28"/>
          <w:szCs w:val="28"/>
          <w:lang w:val="uk-UA" w:eastAsia="ru-RU" w:bidi="ar-SA"/>
        </w:rPr>
      </w:pPr>
      <w:r>
        <w:rPr>
          <w:rFonts w:eastAsia="Times New Roman" w:cs="Times New Roman"/>
          <w:b/>
          <w:color w:val="auto"/>
          <w:kern w:val="0"/>
          <w:sz w:val="28"/>
          <w:szCs w:val="28"/>
          <w:lang w:val="uk-UA" w:eastAsia="ru-RU" w:bidi="ar-SA"/>
        </w:rPr>
        <w:t>ІНФОРМАЦІЯ</w:t>
      </w:r>
    </w:p>
    <w:p>
      <w:pPr>
        <w:pStyle w:val="Style20"/>
        <w:ind w:right="-185" w:hanging="0"/>
        <w:jc w:val="center"/>
        <w:rPr/>
      </w:pPr>
      <w:r>
        <w:rPr>
          <w:b/>
          <w:szCs w:val="28"/>
        </w:rPr>
        <w:t>щодо виконання міського бюджету за 2019 рік</w:t>
      </w:r>
    </w:p>
    <w:p>
      <w:pPr>
        <w:pStyle w:val="Style15"/>
        <w:ind w:left="-180" w:firstLine="360"/>
        <w:jc w:val="center"/>
        <w:rPr>
          <w:b/>
          <w:b/>
          <w:szCs w:val="28"/>
        </w:rPr>
      </w:pPr>
      <w:r>
        <w:rPr>
          <w:b/>
          <w:szCs w:val="28"/>
        </w:rPr>
      </w:r>
    </w:p>
    <w:p>
      <w:pPr>
        <w:pStyle w:val="Style15"/>
        <w:ind w:left="-180" w:firstLine="360"/>
        <w:jc w:val="center"/>
        <w:rPr>
          <w:b/>
          <w:b/>
          <w:szCs w:val="28"/>
        </w:rPr>
      </w:pPr>
      <w:r>
        <w:rPr>
          <w:b/>
          <w:szCs w:val="28"/>
        </w:rPr>
        <w:t>Д О Х О Д И</w:t>
      </w:r>
    </w:p>
    <w:p>
      <w:pPr>
        <w:pStyle w:val="Style15"/>
        <w:numPr>
          <w:ilvl w:val="0"/>
          <w:numId w:val="0"/>
        </w:numPr>
        <w:jc w:val="center"/>
        <w:outlineLvl w:val="0"/>
        <w:rPr>
          <w:b/>
          <w:b/>
          <w:szCs w:val="28"/>
        </w:rPr>
      </w:pPr>
      <w:r>
        <w:rPr>
          <w:b/>
          <w:szCs w:val="28"/>
        </w:rPr>
      </w:r>
    </w:p>
    <w:p>
      <w:pPr>
        <w:pStyle w:val="Normal"/>
        <w:ind w:left="-540" w:hanging="0"/>
        <w:jc w:val="both"/>
        <w:rPr>
          <w:sz w:val="28"/>
          <w:szCs w:val="28"/>
          <w:lang w:val="uk-UA"/>
        </w:rPr>
      </w:pPr>
      <w:r>
        <w:rPr>
          <w:sz w:val="28"/>
          <w:szCs w:val="28"/>
          <w:lang w:val="uk-UA"/>
        </w:rPr>
        <w:t xml:space="preserve">За підсумками 2019 року загальний обсяг фінансових ресурсів, які надійшли до міського бюджету складає в сумі 830811,1 тис.грн. Річні уточнені призначення за доходами загального та спеціального фондів бюджету, враховуючи міжбюджетні трансферти виконано на 101,7 відсотка. </w:t>
      </w:r>
    </w:p>
    <w:p>
      <w:pPr>
        <w:pStyle w:val="BodyTextIndent2"/>
        <w:tabs>
          <w:tab w:val="clear" w:pos="708"/>
          <w:tab w:val="left" w:pos="720" w:leader="none"/>
        </w:tabs>
        <w:spacing w:lineRule="auto" w:line="240" w:before="0" w:after="0"/>
        <w:ind w:left="-540" w:hanging="0"/>
        <w:jc w:val="both"/>
        <w:rPr>
          <w:sz w:val="28"/>
          <w:szCs w:val="28"/>
        </w:rPr>
      </w:pPr>
      <w:r>
        <w:rPr>
          <w:sz w:val="28"/>
          <w:szCs w:val="28"/>
        </w:rPr>
        <w:t xml:space="preserve">Власні доходи загального фонду міського бюджету становлять в сумі             382937,0 тис. грн, або 102,2 відсотка до уточненого планового показника на звітний рік, додатково отримано 8215,6 тис.грн. Порівняно з минулорічним, обсяг  надходжень податків, зборів та інших платежів до загального фонду  зріс  більше як у 1,2 рази, в сумі на 71952,1 тис.грн. </w:t>
      </w:r>
    </w:p>
    <w:p>
      <w:pPr>
        <w:pStyle w:val="BodyTextIndent2"/>
        <w:tabs>
          <w:tab w:val="clear" w:pos="708"/>
          <w:tab w:val="left" w:pos="720" w:leader="none"/>
        </w:tabs>
        <w:spacing w:lineRule="auto" w:line="240" w:before="0" w:after="0"/>
        <w:ind w:left="-540" w:hanging="0"/>
        <w:jc w:val="both"/>
        <w:rPr/>
      </w:pPr>
      <w:r>
        <w:rPr>
          <w:sz w:val="28"/>
          <w:szCs w:val="28"/>
        </w:rPr>
        <w:t>До  спеціального фонду отримано доходів в сумі 44547,2 тис.грн., або                176,9 відсотка до затвердженого показника  на рік, понад план залучено коштів в сумі 19370,2 тис.грн</w:t>
      </w:r>
      <w:r>
        <w:rPr/>
        <w:t>.</w:t>
      </w:r>
    </w:p>
    <w:p>
      <w:pPr>
        <w:pStyle w:val="Style15"/>
        <w:ind w:left="-540" w:hanging="0"/>
        <w:jc w:val="both"/>
        <w:rPr>
          <w:szCs w:val="28"/>
        </w:rPr>
      </w:pPr>
      <w:r>
        <w:rPr>
          <w:szCs w:val="28"/>
        </w:rPr>
        <w:t xml:space="preserve">         </w:t>
      </w:r>
      <w:r>
        <w:rPr>
          <w:szCs w:val="28"/>
        </w:rPr>
        <w:t xml:space="preserve">З державного бюджету  надійшло  базової дотаціїв сумі 5962,4  тис.грн., цільових субвенцій- 161740,2 тис.грн.,  100 відсотків до  призначень на звітний рік., з них освітньої субвенції- 111284,4 тис.грн., медичної субвенції-                    49061,3 тис.грн.  </w:t>
      </w:r>
    </w:p>
    <w:p>
      <w:pPr>
        <w:pStyle w:val="Style15"/>
        <w:ind w:left="-539" w:firstLine="357"/>
        <w:jc w:val="both"/>
        <w:rPr>
          <w:szCs w:val="28"/>
        </w:rPr>
      </w:pPr>
      <w:r>
        <w:rPr/>
        <w:drawing>
          <wp:inline distT="0" distB="0" distL="0" distR="0">
            <wp:extent cx="5913755" cy="3566795"/>
            <wp:effectExtent l="0" t="0" r="0" b="0"/>
            <wp:docPr id="1" name="Рисунок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1" descr=""/>
                    <pic:cNvPicPr>
                      <a:picLocks noChangeAspect="1" noChangeArrowheads="1"/>
                    </pic:cNvPicPr>
                  </pic:nvPicPr>
                  <pic:blipFill>
                    <a:blip r:embed="rId2"/>
                    <a:stretch>
                      <a:fillRect/>
                    </a:stretch>
                  </pic:blipFill>
                  <pic:spPr bwMode="auto">
                    <a:xfrm>
                      <a:off x="0" y="0"/>
                      <a:ext cx="5913755" cy="3566795"/>
                    </a:xfrm>
                    <a:prstGeom prst="rect">
                      <a:avLst/>
                    </a:prstGeom>
                  </pic:spPr>
                </pic:pic>
              </a:graphicData>
            </a:graphic>
          </wp:inline>
        </w:drawing>
      </w:r>
    </w:p>
    <w:p>
      <w:pPr>
        <w:pStyle w:val="Style15"/>
        <w:ind w:left="-539" w:firstLine="357"/>
        <w:jc w:val="both"/>
        <w:rPr>
          <w:szCs w:val="28"/>
        </w:rPr>
      </w:pPr>
      <w:r>
        <w:rPr>
          <w:szCs w:val="28"/>
        </w:rPr>
      </w:r>
    </w:p>
    <w:p>
      <w:pPr>
        <w:pStyle w:val="Style15"/>
        <w:ind w:left="-539" w:firstLine="357"/>
        <w:jc w:val="both"/>
        <w:rPr>
          <w:szCs w:val="28"/>
        </w:rPr>
      </w:pPr>
      <w:r>
        <w:rPr>
          <w:szCs w:val="28"/>
        </w:rPr>
      </w:r>
    </w:p>
    <w:p>
      <w:pPr>
        <w:pStyle w:val="Style15"/>
        <w:ind w:left="-539" w:firstLine="357"/>
        <w:jc w:val="both"/>
        <w:rPr>
          <w:szCs w:val="28"/>
        </w:rPr>
      </w:pPr>
      <w:r>
        <w:rPr>
          <w:szCs w:val="28"/>
        </w:rPr>
        <w:t>Забезпечено виконання запланованих показників по усіх основних джерелах власних  доходів загального та спеціального  фондів міського бюджету окрім податку на прибуток підприємств комунальної власності міста та плати за надання інших адміністративних послуг.</w:t>
      </w:r>
    </w:p>
    <w:p>
      <w:pPr>
        <w:pStyle w:val="Style15"/>
        <w:ind w:left="-540" w:hanging="0"/>
        <w:jc w:val="both"/>
        <w:rPr/>
      </w:pPr>
      <w:r>
        <w:rPr/>
      </w:r>
    </w:p>
    <w:p>
      <w:pPr>
        <w:pStyle w:val="Style15"/>
        <w:ind w:left="-540" w:hanging="0"/>
        <w:jc w:val="both"/>
        <w:rPr/>
      </w:pPr>
      <w:r>
        <w:rPr/>
        <w:drawing>
          <wp:inline distT="0" distB="0" distL="0" distR="0">
            <wp:extent cx="5913755" cy="3566795"/>
            <wp:effectExtent l="0" t="0" r="0" b="0"/>
            <wp:docPr id="2" name="Рисунок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0" descr=""/>
                    <pic:cNvPicPr>
                      <a:picLocks noChangeAspect="1" noChangeArrowheads="1"/>
                    </pic:cNvPicPr>
                  </pic:nvPicPr>
                  <pic:blipFill>
                    <a:blip r:embed="rId3"/>
                    <a:stretch>
                      <a:fillRect/>
                    </a:stretch>
                  </pic:blipFill>
                  <pic:spPr bwMode="auto">
                    <a:xfrm>
                      <a:off x="0" y="0"/>
                      <a:ext cx="5913755" cy="3566795"/>
                    </a:xfrm>
                    <a:prstGeom prst="rect">
                      <a:avLst/>
                    </a:prstGeom>
                  </pic:spPr>
                </pic:pic>
              </a:graphicData>
            </a:graphic>
          </wp:inline>
        </w:drawing>
      </w:r>
    </w:p>
    <w:p>
      <w:pPr>
        <w:pStyle w:val="Style15"/>
        <w:ind w:left="-540" w:hanging="0"/>
        <w:jc w:val="both"/>
        <w:rPr/>
      </w:pPr>
      <w:r>
        <w:rPr>
          <w:szCs w:val="28"/>
        </w:rPr>
        <w:t xml:space="preserve">У звітному році  основною складовою наповнення дохідної частини міського бюджету залишається податок та збір на доходи фізичних осіб, частка якого  в сумі власних доходів загального фонду  складає 50,1 відсотка. Цих коштів  зараховано до міського бюджету в сумі 191619,4тис.грн., або 102 відсотка до затвердженого обсягу, понад планові призначення  залучено 3826,9тис.грн.  Приріст до відповідного минулорічного показника становить 34997,1 тис.грн.,  або 22,3 відсотка. Зростання  надходжень податку на доходи фізичних осіб відбулося, насамперед, за рахунок підвищення  рівня мінімальної заробітної плати до 4173 грн. та відповідного збільшення фонду оплати праці на підприємствах та  бюджетних установах міста. </w:t>
      </w:r>
      <w:r>
        <w:rPr>
          <w:bCs/>
          <w:szCs w:val="28"/>
        </w:rPr>
        <w:t>Зокрема, зросли</w:t>
      </w:r>
      <w:r>
        <w:rPr>
          <w:szCs w:val="28"/>
        </w:rPr>
        <w:t xml:space="preserve"> обсяги сплати податку на доходи фізичних осіб до бюджету від таких підприємств міста, а   саме:</w:t>
      </w:r>
    </w:p>
    <w:p>
      <w:pPr>
        <w:pStyle w:val="Style15"/>
        <w:ind w:left="-540" w:hanging="0"/>
        <w:jc w:val="both"/>
        <w:rPr>
          <w:bCs/>
          <w:szCs w:val="28"/>
        </w:rPr>
      </w:pPr>
      <w:r>
        <w:rPr>
          <w:bCs/>
          <w:szCs w:val="28"/>
        </w:rPr>
        <w:t xml:space="preserve">   </w:t>
      </w:r>
      <w:r>
        <w:rPr>
          <w:bCs/>
          <w:szCs w:val="28"/>
        </w:rPr>
        <w:t xml:space="preserve">- Регіональна філія «Львівська залізниця» ПАТ «Укрзалізниця» на </w:t>
      </w:r>
    </w:p>
    <w:p>
      <w:pPr>
        <w:pStyle w:val="Style15"/>
        <w:ind w:left="-540" w:hanging="0"/>
        <w:jc w:val="both"/>
        <w:rPr>
          <w:bCs/>
          <w:szCs w:val="28"/>
        </w:rPr>
      </w:pPr>
      <w:r>
        <w:rPr>
          <w:bCs/>
          <w:szCs w:val="28"/>
        </w:rPr>
        <w:t xml:space="preserve">   </w:t>
      </w:r>
      <w:r>
        <w:rPr>
          <w:bCs/>
          <w:szCs w:val="28"/>
        </w:rPr>
        <w:t xml:space="preserve">3277,1 тис.грн. (+12,3%); </w:t>
      </w:r>
    </w:p>
    <w:p>
      <w:pPr>
        <w:pStyle w:val="Style15"/>
        <w:ind w:left="-360" w:hanging="0"/>
        <w:rPr>
          <w:bCs/>
          <w:szCs w:val="28"/>
        </w:rPr>
      </w:pPr>
      <w:r>
        <w:rPr>
          <w:bCs/>
          <w:szCs w:val="28"/>
        </w:rPr>
        <w:t xml:space="preserve">- Філія «Пасажирська компанія» АТ «Укрзалізниця» на  3027,9 тис.грн. (16,2%);      </w:t>
      </w:r>
    </w:p>
    <w:p>
      <w:pPr>
        <w:pStyle w:val="Style15"/>
        <w:ind w:left="-360" w:hanging="0"/>
        <w:jc w:val="both"/>
        <w:rPr>
          <w:bCs/>
          <w:szCs w:val="28"/>
        </w:rPr>
      </w:pPr>
      <w:r>
        <w:rPr>
          <w:szCs w:val="28"/>
        </w:rPr>
        <w:t>-  ТзДВ «Гал-Кат» на 465,0 тис.грн. (+11,5%);</w:t>
      </w:r>
    </w:p>
    <w:p>
      <w:pPr>
        <w:pStyle w:val="Style15"/>
        <w:ind w:left="-539" w:firstLine="179"/>
        <w:jc w:val="both"/>
        <w:rPr>
          <w:szCs w:val="28"/>
        </w:rPr>
      </w:pPr>
      <w:r>
        <w:rPr>
          <w:szCs w:val="28"/>
        </w:rPr>
        <w:t xml:space="preserve">-  ТОВ «ВОЛМА» на 1161,2 тис.грн. ( + 71,9 %) ; </w:t>
      </w:r>
    </w:p>
    <w:p>
      <w:pPr>
        <w:pStyle w:val="Style15"/>
        <w:ind w:left="-360" w:hanging="0"/>
        <w:jc w:val="both"/>
        <w:rPr>
          <w:szCs w:val="28"/>
        </w:rPr>
      </w:pPr>
      <w:r>
        <w:rPr>
          <w:szCs w:val="28"/>
        </w:rPr>
        <w:t>-  ВАТ «Волиньобленерго» на 467,2 тис.грн. (+26,3%);</w:t>
      </w:r>
    </w:p>
    <w:p>
      <w:pPr>
        <w:pStyle w:val="Style15"/>
        <w:ind w:left="-360" w:hanging="0"/>
        <w:jc w:val="both"/>
        <w:rPr>
          <w:szCs w:val="28"/>
        </w:rPr>
      </w:pPr>
      <w:r>
        <w:rPr>
          <w:bCs/>
          <w:szCs w:val="28"/>
        </w:rPr>
        <w:t xml:space="preserve">-  </w:t>
      </w:r>
      <w:r>
        <w:rPr>
          <w:szCs w:val="28"/>
        </w:rPr>
        <w:t>ВАТ «Ковельський хлібокомбінат» на 374,9 тис.грн.( +26,5%);</w:t>
      </w:r>
    </w:p>
    <w:p>
      <w:pPr>
        <w:pStyle w:val="Style15"/>
        <w:ind w:left="-539" w:firstLine="179"/>
        <w:jc w:val="both"/>
        <w:rPr>
          <w:szCs w:val="28"/>
        </w:rPr>
      </w:pPr>
      <w:r>
        <w:rPr>
          <w:szCs w:val="28"/>
        </w:rPr>
        <w:t>-   ШБУ-63 на 421,2 тис.грн. (+45,7%)</w:t>
      </w:r>
    </w:p>
    <w:p>
      <w:pPr>
        <w:pStyle w:val="Style15"/>
        <w:ind w:left="-539" w:firstLine="179"/>
        <w:jc w:val="both"/>
        <w:rPr>
          <w:szCs w:val="28"/>
        </w:rPr>
      </w:pPr>
      <w:r>
        <w:rPr>
          <w:szCs w:val="28"/>
        </w:rPr>
        <w:t>-  ВАТ «Волиньгаз» на 308,5 тис.грн. (+26,3%);</w:t>
      </w:r>
    </w:p>
    <w:p>
      <w:pPr>
        <w:pStyle w:val="Style15"/>
        <w:ind w:left="-539" w:firstLine="179"/>
        <w:jc w:val="both"/>
        <w:rPr>
          <w:szCs w:val="28"/>
        </w:rPr>
      </w:pPr>
      <w:r>
        <w:rPr>
          <w:szCs w:val="28"/>
        </w:rPr>
        <w:t>-  ТОВ «НОВА ПОШТА» на 178,9 тис.грн. (+20%);</w:t>
      </w:r>
    </w:p>
    <w:p>
      <w:pPr>
        <w:pStyle w:val="Style15"/>
        <w:ind w:left="-539" w:firstLine="179"/>
        <w:jc w:val="both"/>
        <w:rPr>
          <w:szCs w:val="28"/>
        </w:rPr>
      </w:pPr>
      <w:r>
        <w:rPr>
          <w:szCs w:val="28"/>
        </w:rPr>
        <w:t>-  ТОВ « АТБ-маркет» на 241,7тис.грн. (+76,3%).</w:t>
      </w:r>
    </w:p>
    <w:p>
      <w:pPr>
        <w:pStyle w:val="Normal"/>
        <w:ind w:left="-540" w:hanging="0"/>
        <w:jc w:val="both"/>
        <w:rPr>
          <w:sz w:val="28"/>
          <w:szCs w:val="28"/>
        </w:rPr>
      </w:pPr>
      <w:r>
        <w:rPr>
          <w:sz w:val="28"/>
          <w:szCs w:val="28"/>
        </w:rPr>
        <w:t xml:space="preserve">В порівнянні з попереднім роком, зросли  в 1,6 рази, в сумі на 2662,0 тис.грн. надходження   податку на доходи фізичних осіб, що сплачується  з грошового забезпечення, грошових винагород та інших виплат, одержаних військовослужбовцями  та особами рядового та начальницького складу. Податку на доходи фізичних осіб, що сплачується фізичними особами  за результатами річного декларування отримано більше на 822,3 тис.нрн, або 28,9 відсотка. </w:t>
      </w:r>
    </w:p>
    <w:p>
      <w:pPr>
        <w:pStyle w:val="Normal"/>
        <w:ind w:left="-540" w:hanging="0"/>
        <w:jc w:val="both"/>
        <w:rPr>
          <w:sz w:val="28"/>
          <w:szCs w:val="28"/>
        </w:rPr>
      </w:pPr>
      <w:r>
        <w:rPr/>
        <w:drawing>
          <wp:inline distT="0" distB="0" distL="0" distR="0">
            <wp:extent cx="5913755" cy="3566795"/>
            <wp:effectExtent l="0" t="0" r="0" b="0"/>
            <wp:docPr id="3" name="Рисунок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9" descr=""/>
                    <pic:cNvPicPr>
                      <a:picLocks noChangeAspect="1" noChangeArrowheads="1"/>
                    </pic:cNvPicPr>
                  </pic:nvPicPr>
                  <pic:blipFill>
                    <a:blip r:embed="rId4"/>
                    <a:stretch>
                      <a:fillRect/>
                    </a:stretch>
                  </pic:blipFill>
                  <pic:spPr bwMode="auto">
                    <a:xfrm>
                      <a:off x="0" y="0"/>
                      <a:ext cx="5913755" cy="3566795"/>
                    </a:xfrm>
                    <a:prstGeom prst="rect">
                      <a:avLst/>
                    </a:prstGeom>
                  </pic:spPr>
                </pic:pic>
              </a:graphicData>
            </a:graphic>
          </wp:inline>
        </w:drawing>
      </w:r>
    </w:p>
    <w:p>
      <w:pPr>
        <w:pStyle w:val="BodyTextIndent2"/>
        <w:spacing w:lineRule="auto" w:line="240" w:before="0" w:after="0"/>
        <w:ind w:left="-540" w:hanging="0"/>
        <w:jc w:val="both"/>
        <w:rPr>
          <w:sz w:val="28"/>
          <w:szCs w:val="28"/>
        </w:rPr>
      </w:pPr>
      <w:r>
        <w:rPr>
          <w:sz w:val="28"/>
          <w:szCs w:val="28"/>
        </w:rPr>
        <w:t xml:space="preserve">          </w:t>
      </w:r>
      <w:r>
        <w:rPr>
          <w:sz w:val="28"/>
          <w:szCs w:val="28"/>
        </w:rPr>
        <w:t>Підприємствами комунальної власності міста сплачено до бюджету1772,7тис.грн. податку на прибуток, або 91,1 відсотка до призначення на звітний рік. Порівняно з 2018 роком фактичний обсяг цього джерела доходів  зменшився на 1479,7 тис.грн. Від основного платника, а саме ПТМ «Ковельтепло» зарахованоподатку на прибуток  в сумі 1089,8 тис.грн., що менше за аналогічний показник попереднього  року на 2655,8 тис.грн., УВКГ «Ковельводоканал» -11,1 тис.грн. (-100,7 тис.грн.), КП «Добробут»- 32,0 тис.грн. (-15,7 тис.грн.). Зросли  надходження  податку на прибуток  від РЖКП-1та РЖКП-2-  відповідно на 153,0тис.грн  та 254,4тис.грн і становлять  відповідно в сумі 165,0тис.грн та455,4тис.грн.</w:t>
      </w:r>
    </w:p>
    <w:p>
      <w:pPr>
        <w:pStyle w:val="BodyTextIndent2"/>
        <w:spacing w:lineRule="auto" w:line="240" w:before="0" w:after="0"/>
        <w:ind w:left="-540" w:hanging="0"/>
        <w:jc w:val="both"/>
        <w:rPr>
          <w:sz w:val="28"/>
          <w:szCs w:val="28"/>
        </w:rPr>
      </w:pPr>
      <w:r>
        <w:rPr>
          <w:sz w:val="28"/>
          <w:szCs w:val="28"/>
        </w:rPr>
        <w:t xml:space="preserve">Вагому частину надходжень до міського бюджету  займає акцизний податок  з реалізації суб”єктами господарювання роздрібної торгівлі підакцизних товарів- алкогольних та тютюнових виробів, фактичні надходження  якого у звітному році склали в сумі  21334,9 тис.грн., або 101,9 відсотка до затвердженого показника. Понад планові призначення отримано 404,8 тис.грн. Однак, порівняно з минулим роком цих коштів зараховано до  міського бюджету  менше на 2455,7 тис.грн. Найбільшим платником, а саме  ТОВ «Тедіс Україна» значно скоротились обсяги сплати акцизного податку до міського бюджету. Так, у звітному  році від ТОВ «Тедіс Україна» надійшло зазначеного податку в сумі 6571,5 тис.грн., що менше ніж у 2018 році на 3114,5 тис.грн. </w:t>
      </w:r>
    </w:p>
    <w:p>
      <w:pPr>
        <w:pStyle w:val="BodyTextIndent2"/>
        <w:spacing w:lineRule="auto" w:line="240" w:before="0" w:after="0"/>
        <w:ind w:left="-540" w:hanging="0"/>
        <w:jc w:val="both"/>
        <w:rPr>
          <w:sz w:val="28"/>
          <w:szCs w:val="28"/>
        </w:rPr>
      </w:pPr>
      <w:r>
        <w:rPr>
          <w:sz w:val="28"/>
          <w:szCs w:val="28"/>
        </w:rPr>
        <w:t xml:space="preserve">         </w:t>
      </w:r>
      <w:r>
        <w:rPr>
          <w:sz w:val="28"/>
          <w:szCs w:val="28"/>
        </w:rPr>
        <w:t xml:space="preserve">Відповідно до Постанови КМ України від 08.02.2017 № 96 з державного бюджету відшкодовано бюджету м. Ковеля 3430,9тис.грн. акцизного податку </w:t>
      </w:r>
      <w:r>
        <w:rPr>
          <w:color w:val="000000"/>
          <w:sz w:val="28"/>
          <w:szCs w:val="28"/>
          <w:shd w:fill="FFFFFF" w:val="clear"/>
        </w:rPr>
        <w:t>з виробленого в Україні та 14112,2тис.грн. з ввезеного на митну територію  України пального, що більше ніж у 2018 році відповідно на 79,2 та 486,5 тис.грн.</w:t>
      </w:r>
    </w:p>
    <w:p>
      <w:pPr>
        <w:pStyle w:val="BodyTextIndent2"/>
        <w:tabs>
          <w:tab w:val="clear" w:pos="708"/>
          <w:tab w:val="left" w:pos="720" w:leader="none"/>
        </w:tabs>
        <w:spacing w:lineRule="auto" w:line="240" w:before="0" w:after="0"/>
        <w:ind w:left="-540" w:firstLine="227"/>
        <w:jc w:val="both"/>
        <w:rPr>
          <w:sz w:val="28"/>
          <w:szCs w:val="28"/>
        </w:rPr>
      </w:pPr>
      <w:r>
        <w:rPr>
          <w:sz w:val="28"/>
          <w:szCs w:val="28"/>
        </w:rPr>
        <w:t xml:space="preserve">      </w:t>
      </w:r>
      <w:r>
        <w:rPr>
          <w:sz w:val="28"/>
          <w:szCs w:val="28"/>
        </w:rPr>
        <w:t>Від запроваджених міською радою на території міста місцевих податків і зборів отримано фінансових ресурсів в сумі 129031,9 тис.грн.або 102,7  відсотка до запланованого показника  на рік  та  на 38284,2 тис.грн.( у 1,4 рази) більше за фактичний їх обсяг 2018 року.Найбільшу частку  у надходженнях місцевих податків займає податок на майно (62,3</w:t>
      </w:r>
      <w:r>
        <w:rPr>
          <w:bCs/>
          <w:sz w:val="28"/>
          <w:szCs w:val="28"/>
        </w:rPr>
        <w:t> </w:t>
      </w:r>
      <w:r>
        <w:rPr>
          <w:sz w:val="28"/>
          <w:szCs w:val="28"/>
        </w:rPr>
        <w:t>відсотка) та єдиний податок (37,4</w:t>
      </w:r>
      <w:r>
        <w:rPr>
          <w:bCs/>
          <w:sz w:val="28"/>
          <w:szCs w:val="28"/>
        </w:rPr>
        <w:t> </w:t>
      </w:r>
      <w:r>
        <w:rPr>
          <w:sz w:val="28"/>
          <w:szCs w:val="28"/>
        </w:rPr>
        <w:t xml:space="preserve">відсотка). </w:t>
      </w:r>
    </w:p>
    <w:p>
      <w:pPr>
        <w:pStyle w:val="BodyTextIndent2"/>
        <w:tabs>
          <w:tab w:val="clear" w:pos="708"/>
          <w:tab w:val="left" w:pos="720" w:leader="none"/>
        </w:tabs>
        <w:spacing w:lineRule="auto" w:line="240" w:before="0" w:after="0"/>
        <w:ind w:left="-540" w:firstLine="227"/>
        <w:jc w:val="both"/>
        <w:rPr>
          <w:sz w:val="28"/>
          <w:szCs w:val="28"/>
        </w:rPr>
      </w:pPr>
      <w:r>
        <w:rPr/>
        <w:drawing>
          <wp:inline distT="0" distB="0" distL="0" distR="0">
            <wp:extent cx="5685155" cy="4115435"/>
            <wp:effectExtent l="0" t="0" r="0" b="0"/>
            <wp:docPr id="4" name="Рисунок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8" descr=""/>
                    <pic:cNvPicPr>
                      <a:picLocks noChangeAspect="1" noChangeArrowheads="1"/>
                    </pic:cNvPicPr>
                  </pic:nvPicPr>
                  <pic:blipFill>
                    <a:blip r:embed="rId5"/>
                    <a:stretch>
                      <a:fillRect/>
                    </a:stretch>
                  </pic:blipFill>
                  <pic:spPr bwMode="auto">
                    <a:xfrm>
                      <a:off x="0" y="0"/>
                      <a:ext cx="5685155" cy="4115435"/>
                    </a:xfrm>
                    <a:prstGeom prst="rect">
                      <a:avLst/>
                    </a:prstGeom>
                  </pic:spPr>
                </pic:pic>
              </a:graphicData>
            </a:graphic>
          </wp:inline>
        </w:drawing>
      </w:r>
    </w:p>
    <w:p>
      <w:pPr>
        <w:pStyle w:val="Normal"/>
        <w:tabs>
          <w:tab w:val="clear" w:pos="708"/>
          <w:tab w:val="left" w:pos="360" w:leader="none"/>
          <w:tab w:val="left" w:pos="3060" w:leader="none"/>
        </w:tabs>
        <w:ind w:left="-540" w:hanging="360"/>
        <w:jc w:val="both"/>
        <w:rPr>
          <w:sz w:val="28"/>
          <w:szCs w:val="28"/>
          <w:lang w:val="uk-UA"/>
        </w:rPr>
      </w:pPr>
      <w:r>
        <w:rPr>
          <w:sz w:val="28"/>
          <w:szCs w:val="28"/>
        </w:rPr>
        <w:t xml:space="preserve">Основноюскладовою податку на майно є плата за землю, обсяги надходжень якої за 2019 рік становлять 72705,1 тис.грн. або 104,4 відсотка до  призначень звітного року.Загалом приріст </w:t>
      </w:r>
      <w:r>
        <w:rPr>
          <w:bCs/>
          <w:sz w:val="28"/>
          <w:szCs w:val="28"/>
        </w:rPr>
        <w:t xml:space="preserve">платежів за землю </w:t>
      </w:r>
      <w:r>
        <w:rPr>
          <w:sz w:val="28"/>
          <w:szCs w:val="28"/>
        </w:rPr>
        <w:t xml:space="preserve">до аналогічного минулорічного показника складає  в сумі 25955,6 тис.грн. </w:t>
      </w:r>
      <w:r>
        <w:rPr>
          <w:bCs/>
          <w:sz w:val="28"/>
          <w:szCs w:val="28"/>
        </w:rPr>
        <w:t xml:space="preserve">або 55,5 відсотка. Значний ріст </w:t>
      </w:r>
      <w:r>
        <w:rPr>
          <w:sz w:val="28"/>
          <w:szCs w:val="28"/>
        </w:rPr>
        <w:t>цих надходжень</w:t>
      </w:r>
      <w:r>
        <w:rPr>
          <w:bCs/>
          <w:sz w:val="28"/>
          <w:szCs w:val="28"/>
        </w:rPr>
        <w:t xml:space="preserve">  обумовлено  тим, що </w:t>
      </w:r>
      <w:r>
        <w:rPr>
          <w:sz w:val="28"/>
          <w:szCs w:val="28"/>
        </w:rPr>
        <w:t xml:space="preserve">починаючи з 1 січня 2019 року, відмінено норму п.284.4 Податкового кодексу щодо справляння земельного податку у розмірі 25% податку за земельні ділянки, надані для залізниць у межах смуг відведення. Також, рішенням Ковельської міської ради   від 25.10.20118р. № 43/38 для  цих земель встановлено ставку податку у розмірі 3 відсотка від їх нормативної грошової оцінки. У звітному році ПАТ «Укрзалізниця» сплачено до бюджету 49632,1 тис.грн. земельного податку, що на  23698,0 тис.грн. більше порівняно з 2018 роком. </w:t>
      </w:r>
    </w:p>
    <w:p>
      <w:pPr>
        <w:pStyle w:val="BodyTextIndent2"/>
        <w:spacing w:lineRule="auto" w:line="240" w:before="0" w:after="0"/>
        <w:ind w:left="-540" w:hanging="0"/>
        <w:jc w:val="both"/>
        <w:rPr>
          <w:sz w:val="28"/>
          <w:szCs w:val="28"/>
        </w:rPr>
      </w:pPr>
      <w:r>
        <w:rPr>
          <w:sz w:val="28"/>
          <w:szCs w:val="28"/>
        </w:rPr>
        <w:t xml:space="preserve">       </w:t>
      </w:r>
      <w:r>
        <w:rPr>
          <w:sz w:val="28"/>
          <w:szCs w:val="28"/>
        </w:rPr>
        <w:t>Податку на нерухоме майно, сплачене юридичними та фізичними особами, які є власниками об”єктів житлової нерухомості отримано в сумі 1150,9 тис.грн., або 96,5 відсотка до планового завдання. Невиконання плану пояснюється наявною податковою заборгованістюстаном на 1.01.2020 року в сумі 873,8 тис.грн. по податку на нерухоме  майно, яке перебуває у власності  фізичних осіб.         Від оподаткування комерційного (нежитлового)  нерухомого майна зараховано до бюджету міста коштів від юридичних  та фізичних осіб в сумі 6438,4 тис.грн., або 104,1 відсотка до затвердженого обсягу, додатково залучено 251,1 тис.грн.  Збільшення цих надходжень пов’язано із підвищенням  ставки оподаткування, яка визначається у відсотках до розміру мінімальної заробітної плати  (4173 грн.).</w:t>
      </w:r>
    </w:p>
    <w:p>
      <w:pPr>
        <w:pStyle w:val="BodyTextIndent2"/>
        <w:spacing w:lineRule="auto" w:line="240" w:before="0" w:after="0"/>
        <w:ind w:left="-540" w:hanging="0"/>
        <w:jc w:val="both"/>
        <w:rPr>
          <w:sz w:val="28"/>
          <w:szCs w:val="28"/>
        </w:rPr>
      </w:pPr>
      <w:r>
        <w:rPr>
          <w:sz w:val="28"/>
          <w:szCs w:val="28"/>
        </w:rPr>
      </w:r>
    </w:p>
    <w:p>
      <w:pPr>
        <w:pStyle w:val="BodyTextIndent2"/>
        <w:spacing w:lineRule="auto" w:line="240" w:before="0" w:after="0"/>
        <w:ind w:left="-540" w:hanging="0"/>
        <w:jc w:val="both"/>
        <w:rPr>
          <w:b/>
          <w:b/>
          <w:sz w:val="28"/>
          <w:szCs w:val="28"/>
        </w:rPr>
      </w:pPr>
      <w:r>
        <w:rPr>
          <w:b/>
          <w:sz w:val="28"/>
          <w:szCs w:val="28"/>
        </w:rPr>
        <w:t>Структураподатку на нерухоме майно, відмінне від земельної ділянки</w:t>
      </w:r>
    </w:p>
    <w:p>
      <w:pPr>
        <w:pStyle w:val="BodyTextIndent2"/>
        <w:spacing w:lineRule="auto" w:line="240" w:before="0" w:after="0"/>
        <w:ind w:left="-540" w:hanging="0"/>
        <w:jc w:val="both"/>
        <w:rPr>
          <w:sz w:val="28"/>
          <w:szCs w:val="28"/>
        </w:rPr>
      </w:pPr>
      <w:r>
        <w:rPr>
          <w:b/>
          <w:sz w:val="28"/>
          <w:szCs w:val="28"/>
        </w:rPr>
        <w:t xml:space="preserve">                                                  </w:t>
      </w:r>
      <w:r>
        <w:rPr>
          <w:b/>
          <w:sz w:val="28"/>
          <w:szCs w:val="28"/>
        </w:rPr>
        <w:t>за 2019 рік</w:t>
      </w:r>
    </w:p>
    <w:p>
      <w:pPr>
        <w:pStyle w:val="Normal"/>
        <w:tabs>
          <w:tab w:val="clear" w:pos="708"/>
          <w:tab w:val="left" w:pos="360" w:leader="none"/>
          <w:tab w:val="left" w:pos="3060" w:leader="none"/>
        </w:tabs>
        <w:ind w:left="-540" w:hanging="360"/>
        <w:jc w:val="both"/>
        <w:rPr>
          <w:sz w:val="28"/>
          <w:szCs w:val="28"/>
        </w:rPr>
      </w:pPr>
      <w:r>
        <w:rPr/>
        <w:drawing>
          <wp:inline distT="0" distB="0" distL="0" distR="0">
            <wp:extent cx="6180455" cy="2941955"/>
            <wp:effectExtent l="0" t="0" r="0" b="0"/>
            <wp:docPr id="5" name="Схема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Схема 12" descr=""/>
                    <pic:cNvPicPr>
                      <a:picLocks noChangeAspect="1" noChangeArrowheads="1"/>
                    </pic:cNvPicPr>
                  </pic:nvPicPr>
                  <pic:blipFill>
                    <a:blip r:embed="rId6"/>
                    <a:stretch>
                      <a:fillRect/>
                    </a:stretch>
                  </pic:blipFill>
                  <pic:spPr bwMode="auto">
                    <a:xfrm>
                      <a:off x="0" y="0"/>
                      <a:ext cx="6180455" cy="2941955"/>
                    </a:xfrm>
                    <a:prstGeom prst="rect">
                      <a:avLst/>
                    </a:prstGeom>
                  </pic:spPr>
                </pic:pic>
              </a:graphicData>
            </a:graphic>
          </wp:inline>
        </w:drawing>
      </w:r>
    </w:p>
    <w:p>
      <w:pPr>
        <w:pStyle w:val="Normal"/>
        <w:tabs>
          <w:tab w:val="clear" w:pos="708"/>
          <w:tab w:val="left" w:pos="360" w:leader="none"/>
          <w:tab w:val="left" w:pos="3060" w:leader="none"/>
        </w:tabs>
        <w:ind w:left="-540" w:hanging="360"/>
        <w:jc w:val="both"/>
        <w:rPr>
          <w:sz w:val="28"/>
          <w:szCs w:val="28"/>
        </w:rPr>
      </w:pPr>
      <w:r>
        <w:rPr>
          <w:sz w:val="28"/>
          <w:szCs w:val="28"/>
        </w:rPr>
        <w:t xml:space="preserve">           </w:t>
      </w:r>
      <w:r>
        <w:rPr>
          <w:sz w:val="28"/>
          <w:szCs w:val="28"/>
        </w:rPr>
        <w:t>Збору за  місця для паркування траспортних засобів  отримано в сумі                  352,1 тис.грн., або 95,1 відсотка до призначеного на звітний рік. Надходження туристичного збору склали в сумі 125,3 тис.грн., або 125,4 відсотка до  планового завдання.</w:t>
      </w:r>
    </w:p>
    <w:p>
      <w:pPr>
        <w:pStyle w:val="Normal"/>
        <w:ind w:left="-540" w:hanging="0"/>
        <w:jc w:val="both"/>
        <w:rPr>
          <w:sz w:val="28"/>
          <w:szCs w:val="28"/>
        </w:rPr>
      </w:pPr>
      <w:r>
        <w:rPr>
          <w:sz w:val="28"/>
          <w:szCs w:val="28"/>
        </w:rPr>
        <w:t xml:space="preserve">       </w:t>
      </w:r>
      <w:r>
        <w:rPr>
          <w:sz w:val="28"/>
          <w:szCs w:val="28"/>
        </w:rPr>
        <w:t>Суб”єктами  малого підприємництва (юридичними та фізичними особами)  сплачено до міського бюджету єдиного податку  в сумі 48214,3 тис.грн., що в 1,3 рази, на 10148,1 тис.грн. більше ніж у  попередньому році. Виконання затвердженого показника по надходженню цих доходів забезпечено на 100,3 відсотка, понад план отримано 129,9тис.грн. Позитивна динаміка по надходженню єдиного податку пояснюється  зростанням мінімальної заробітної плати  станом на 1.01.2019 року та збільшенням кількості платників.</w:t>
      </w:r>
    </w:p>
    <w:p>
      <w:pPr>
        <w:pStyle w:val="Normal"/>
        <w:ind w:left="-540" w:hanging="0"/>
        <w:jc w:val="both"/>
        <w:rPr>
          <w:sz w:val="28"/>
          <w:szCs w:val="28"/>
        </w:rPr>
      </w:pPr>
      <w:r>
        <w:rPr/>
        <w:drawing>
          <wp:inline distT="0" distB="0" distL="0" distR="0">
            <wp:extent cx="5913755" cy="3566795"/>
            <wp:effectExtent l="0" t="0" r="0" b="0"/>
            <wp:docPr id="6" name="Рисунок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7" descr=""/>
                    <pic:cNvPicPr>
                      <a:picLocks noChangeAspect="1" noChangeArrowheads="1"/>
                    </pic:cNvPicPr>
                  </pic:nvPicPr>
                  <pic:blipFill>
                    <a:blip r:embed="rId7"/>
                    <a:stretch>
                      <a:fillRect/>
                    </a:stretch>
                  </pic:blipFill>
                  <pic:spPr bwMode="auto">
                    <a:xfrm>
                      <a:off x="0" y="0"/>
                      <a:ext cx="5913755" cy="3566795"/>
                    </a:xfrm>
                    <a:prstGeom prst="rect">
                      <a:avLst/>
                    </a:prstGeom>
                  </pic:spPr>
                </pic:pic>
              </a:graphicData>
            </a:graphic>
          </wp:inline>
        </w:drawing>
      </w:r>
    </w:p>
    <w:p>
      <w:pPr>
        <w:pStyle w:val="Normal"/>
        <w:ind w:left="-540" w:hanging="0"/>
        <w:jc w:val="both"/>
        <w:rPr>
          <w:sz w:val="28"/>
          <w:szCs w:val="28"/>
        </w:rPr>
      </w:pPr>
      <w:r>
        <w:rPr>
          <w:sz w:val="28"/>
          <w:szCs w:val="28"/>
          <w:lang w:val="uk-UA"/>
        </w:rPr>
        <w:t xml:space="preserve">У  звітному році згідно рішення міської ради на депозитному рахунку банку були розміщені тимчасово вільні бюджетні кошти. </w:t>
      </w:r>
      <w:r>
        <w:rPr>
          <w:sz w:val="28"/>
          <w:szCs w:val="28"/>
        </w:rPr>
        <w:t>Від розміщення цих коштів до міського бюджету надійшло 3946,3 тис.грн., що на 941,8 тис.грн.  більше  ніж  у  2018 році, виконання запланованого показника становить 110,3 відсотка.</w:t>
      </w:r>
    </w:p>
    <w:p>
      <w:pPr>
        <w:pStyle w:val="BodyTextIndent2"/>
        <w:spacing w:lineRule="auto" w:line="240" w:before="0" w:after="0"/>
        <w:ind w:left="-540" w:hanging="540"/>
        <w:jc w:val="both"/>
        <w:rPr>
          <w:sz w:val="28"/>
          <w:szCs w:val="28"/>
        </w:rPr>
      </w:pPr>
      <w:r>
        <w:rPr>
          <w:sz w:val="28"/>
          <w:szCs w:val="28"/>
        </w:rPr>
        <w:t xml:space="preserve">                 </w:t>
      </w:r>
      <w:r>
        <w:rPr>
          <w:sz w:val="28"/>
          <w:szCs w:val="28"/>
        </w:rPr>
        <w:t>Від  сплати адміністративних штрафів та штрафних  санкцій   за</w:t>
        <w:tab/>
        <w:t xml:space="preserve">порушення законодавства у сфері виробництва та обігу алкогольних напоїв та тютюнових виробів  отримано доходів відповідно в сумах135,1та 204,2 тис.грн., що складає 111,5 та 115,5 відсотка до призначення на звітний рік. Порівняно з минулим роком надходження  цих коштів зросли у 2 рази  (на 161,4тис.грн.).  </w:t>
      </w:r>
    </w:p>
    <w:p>
      <w:pPr>
        <w:pStyle w:val="BodyTextIndent2"/>
        <w:spacing w:lineRule="auto" w:line="240" w:before="0" w:after="0"/>
        <w:ind w:left="-540" w:hanging="0"/>
        <w:jc w:val="both"/>
        <w:rPr>
          <w:sz w:val="28"/>
          <w:szCs w:val="28"/>
        </w:rPr>
      </w:pPr>
      <w:r>
        <w:rPr>
          <w:sz w:val="28"/>
          <w:szCs w:val="28"/>
        </w:rPr>
        <w:t xml:space="preserve">         </w:t>
      </w:r>
      <w:r>
        <w:rPr>
          <w:sz w:val="28"/>
          <w:szCs w:val="28"/>
        </w:rPr>
        <w:t>Впродовж звітного року до міського бюджету надійшло плати за надання адміністративних послуг в сумі  14420.4 тис.грн., щоскладає 97,1 відсотказатвердженого показника, з них:</w:t>
      </w:r>
    </w:p>
    <w:p>
      <w:pPr>
        <w:pStyle w:val="BodyTextIndent2"/>
        <w:spacing w:lineRule="auto" w:line="240" w:before="0" w:after="0"/>
        <w:ind w:left="-360" w:hanging="0"/>
        <w:jc w:val="both"/>
        <w:rPr>
          <w:sz w:val="28"/>
          <w:szCs w:val="28"/>
        </w:rPr>
      </w:pPr>
      <w:r>
        <w:rPr>
          <w:b/>
          <w:sz w:val="36"/>
          <w:szCs w:val="36"/>
        </w:rPr>
        <w:t>.</w:t>
      </w:r>
      <w:r>
        <w:rPr>
          <w:sz w:val="28"/>
          <w:szCs w:val="28"/>
        </w:rPr>
        <w:t>адміністративний збір за проведення державної реєстрації юридичних осіб,</w:t>
      </w:r>
    </w:p>
    <w:p>
      <w:pPr>
        <w:pStyle w:val="BodyTextIndent2"/>
        <w:spacing w:lineRule="auto" w:line="240" w:before="0" w:after="0"/>
        <w:ind w:left="-540" w:hanging="0"/>
        <w:jc w:val="both"/>
        <w:rPr>
          <w:sz w:val="28"/>
          <w:szCs w:val="28"/>
        </w:rPr>
      </w:pPr>
      <w:r>
        <w:rPr>
          <w:sz w:val="28"/>
          <w:szCs w:val="28"/>
        </w:rPr>
        <w:t xml:space="preserve">    </w:t>
      </w:r>
      <w:r>
        <w:rPr>
          <w:sz w:val="28"/>
          <w:szCs w:val="28"/>
        </w:rPr>
        <w:t xml:space="preserve">фізичних осіб-підприємців та громадських формувань- 135,9 тис.грн.; </w:t>
      </w:r>
    </w:p>
    <w:p>
      <w:pPr>
        <w:pStyle w:val="BodyTextIndent2"/>
        <w:spacing w:lineRule="auto" w:line="240" w:before="0" w:after="0"/>
        <w:ind w:left="-360" w:hanging="0"/>
        <w:jc w:val="both"/>
        <w:rPr>
          <w:sz w:val="28"/>
          <w:szCs w:val="28"/>
        </w:rPr>
      </w:pPr>
      <w:r>
        <w:rPr>
          <w:b/>
          <w:sz w:val="28"/>
          <w:szCs w:val="28"/>
        </w:rPr>
        <w:t>.</w:t>
      </w:r>
      <w:r>
        <w:rPr>
          <w:sz w:val="28"/>
          <w:szCs w:val="28"/>
        </w:rPr>
        <w:t xml:space="preserve"> плата за надання інших адміністративних послуг- 13968,5 тис.грн.;</w:t>
      </w:r>
    </w:p>
    <w:p>
      <w:pPr>
        <w:pStyle w:val="BodyTextIndent2"/>
        <w:spacing w:lineRule="auto" w:line="240" w:before="0" w:after="0"/>
        <w:ind w:left="-360" w:hanging="0"/>
        <w:jc w:val="both"/>
        <w:rPr>
          <w:sz w:val="28"/>
          <w:szCs w:val="28"/>
        </w:rPr>
      </w:pPr>
      <w:r>
        <w:rPr>
          <w:b/>
          <w:sz w:val="36"/>
          <w:szCs w:val="36"/>
        </w:rPr>
        <w:t xml:space="preserve">. </w:t>
      </w:r>
      <w:r>
        <w:rPr>
          <w:sz w:val="28"/>
          <w:szCs w:val="28"/>
        </w:rPr>
        <w:t>адміністративний збір за державну реєстрацію  речових прав на нерухоме майно та їх  обтяжень- 310,6 тисч.грн.</w:t>
      </w:r>
    </w:p>
    <w:p>
      <w:pPr>
        <w:pStyle w:val="BodyTextIndent2"/>
        <w:spacing w:lineRule="auto" w:line="240" w:before="0" w:after="0"/>
        <w:ind w:left="-540" w:hanging="0"/>
        <w:jc w:val="both"/>
        <w:rPr>
          <w:sz w:val="28"/>
          <w:szCs w:val="28"/>
        </w:rPr>
      </w:pPr>
      <w:r>
        <w:rPr>
          <w:sz w:val="28"/>
          <w:szCs w:val="28"/>
        </w:rPr>
        <w:t xml:space="preserve">В порівнянні з минулорічними, сплата адміністративних зборів та послуг збільшилась на 587,2 тис.грн.  </w:t>
      </w:r>
    </w:p>
    <w:p>
      <w:pPr>
        <w:pStyle w:val="Normal"/>
        <w:ind w:left="-540" w:hanging="0"/>
        <w:jc w:val="both"/>
        <w:rPr>
          <w:sz w:val="28"/>
          <w:szCs w:val="28"/>
        </w:rPr>
      </w:pPr>
      <w:r>
        <w:rPr>
          <w:sz w:val="28"/>
          <w:szCs w:val="28"/>
        </w:rPr>
        <w:t xml:space="preserve"> </w:t>
      </w:r>
      <w:r>
        <w:rPr>
          <w:sz w:val="28"/>
          <w:szCs w:val="28"/>
        </w:rPr>
        <w:t xml:space="preserve">Від здачі в оренду майна, що перебуває  у комунальній власності міста  зараховано коштів  в сумі 1586,1 тис.грн., або 113,6 відсотка до призначення на рік. В порівнянні з минулим роком цих доходів отримано менше на                          253,7 тис.грн., що  пояснюється введенням в дію з 1.06.2019 року Положення про оренду майна територіальної громади міста Ковеля, затвердженого  рішенням міської ради від 28.03.2019 р. за № 49/58. В Положенні зазначено, що 50 відсотків коштів, отриманих від орендної плати спрямовуються підприємству, а саме РЖКП-1 та РЖКП-2, на балансі або обслуговуванні яких перебуває це майно.  </w:t>
      </w:r>
    </w:p>
    <w:p>
      <w:pPr>
        <w:pStyle w:val="Normal"/>
        <w:ind w:left="-540" w:hanging="0"/>
        <w:jc w:val="both"/>
        <w:rPr>
          <w:sz w:val="28"/>
          <w:szCs w:val="28"/>
        </w:rPr>
      </w:pPr>
      <w:r>
        <w:rPr>
          <w:sz w:val="28"/>
          <w:szCs w:val="28"/>
        </w:rPr>
        <w:t xml:space="preserve">Державного мита надійшло  в сумі 165,1 тис.грн., 172,5 відсотка до затвердженого показника на рік. Проти минулорічних ці надходження зросли  на 24,3тис.грн. </w:t>
      </w:r>
    </w:p>
    <w:p>
      <w:pPr>
        <w:pStyle w:val="BodyTextIndent2"/>
        <w:spacing w:lineRule="auto" w:line="240" w:before="0" w:after="0"/>
        <w:ind w:left="-540" w:hanging="540"/>
        <w:jc w:val="both"/>
        <w:rPr>
          <w:sz w:val="28"/>
          <w:szCs w:val="28"/>
        </w:rPr>
      </w:pPr>
      <w:r>
        <w:rPr>
          <w:sz w:val="28"/>
          <w:szCs w:val="28"/>
        </w:rPr>
        <w:t xml:space="preserve">Інших надходжень  (код бюджетної класифікації 24060300) отримано до бюджету міста в сумі 881,1 тис.грн., з них  плати за тимчасове користування місцем розташування рекламних засобів - 372,8 тис.грн., повернення коштів бюджетних установ – 368,1 тис.грн., відшкодування коштів на лікування потерпілих- 65,9 тис.грн., залишки коштів спеціального фонду, перераховані до загального фонду відповідно п.9 ст.78 Бюджетного кодексу- 74,3 тис.грн.   Виконання планового показникана звітний рік по інших надходженнях становить 145,1 відсотка, додатково отримано 273,8 тис.грн. </w:t>
      </w:r>
    </w:p>
    <w:p>
      <w:pPr>
        <w:pStyle w:val="Normal"/>
        <w:ind w:left="-540" w:hanging="0"/>
        <w:jc w:val="both"/>
        <w:rPr>
          <w:sz w:val="28"/>
          <w:szCs w:val="28"/>
        </w:rPr>
      </w:pPr>
      <w:r>
        <w:rPr>
          <w:sz w:val="28"/>
          <w:szCs w:val="28"/>
        </w:rPr>
        <w:t xml:space="preserve">У  звітному році  до спеціального фонду бюджету надійшло  власних доходів в сумі 44547,2тис.грн. в т.ч. до бюджету розвитку – 14129,9 тис.грн. В цілому виконання планового завдання становить 176,9 відсотка, по бюджету розвитку – 113,0 відсотків. У порівнянні з відповідним показником попереднього року обсяг надходжень спецфонду  збільшився  на 3082,5 тис.грн., в т.ч. бюджету розвитку – на 2189,5 тис.грн. </w:t>
      </w:r>
    </w:p>
    <w:p>
      <w:pPr>
        <w:pStyle w:val="Normal"/>
        <w:ind w:left="-540" w:hanging="0"/>
        <w:jc w:val="both"/>
        <w:rPr>
          <w:sz w:val="28"/>
          <w:szCs w:val="28"/>
        </w:rPr>
      </w:pPr>
      <w:r>
        <w:rPr/>
        <w:drawing>
          <wp:inline distT="0" distB="0" distL="0" distR="0">
            <wp:extent cx="5913755" cy="3566795"/>
            <wp:effectExtent l="0" t="0" r="0" b="0"/>
            <wp:docPr id="7"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3" descr=""/>
                    <pic:cNvPicPr>
                      <a:picLocks noChangeAspect="1" noChangeArrowheads="1"/>
                    </pic:cNvPicPr>
                  </pic:nvPicPr>
                  <pic:blipFill>
                    <a:blip r:embed="rId8"/>
                    <a:stretch>
                      <a:fillRect/>
                    </a:stretch>
                  </pic:blipFill>
                  <pic:spPr bwMode="auto">
                    <a:xfrm>
                      <a:off x="0" y="0"/>
                      <a:ext cx="5913755" cy="3566795"/>
                    </a:xfrm>
                    <a:prstGeom prst="rect">
                      <a:avLst/>
                    </a:prstGeom>
                  </pic:spPr>
                </pic:pic>
              </a:graphicData>
            </a:graphic>
          </wp:inline>
        </w:drawing>
      </w:r>
    </w:p>
    <w:p>
      <w:pPr>
        <w:pStyle w:val="Normal"/>
        <w:ind w:left="-540" w:hanging="0"/>
        <w:jc w:val="both"/>
        <w:rPr>
          <w:sz w:val="28"/>
          <w:szCs w:val="28"/>
        </w:rPr>
      </w:pPr>
      <w:r>
        <w:rPr>
          <w:sz w:val="28"/>
          <w:szCs w:val="28"/>
        </w:rPr>
        <w:t xml:space="preserve">До спеціального фонду зараховано екологічного податку  в сумі                          155,0 тис.грн., 126  відсотків до планового показника на рік, понад план залучено 32,0 тис.грн. </w:t>
      </w:r>
    </w:p>
    <w:p>
      <w:pPr>
        <w:pStyle w:val="Normal"/>
        <w:ind w:left="-540" w:firstLine="540"/>
        <w:jc w:val="both"/>
        <w:rPr>
          <w:sz w:val="28"/>
          <w:szCs w:val="28"/>
        </w:rPr>
      </w:pPr>
      <w:r>
        <w:rPr>
          <w:sz w:val="28"/>
          <w:szCs w:val="28"/>
        </w:rPr>
        <w:t>Бюджетними установами міста отримано власних надходжень в сумі            30156,9 тис.грн., що 2,4 рази перевищує затверджений обсяг на звітний рік. Надходження від плати за послуги, що надаються бюджетними установами склали в сумі 12322,4 тис.грн. або 108,1 відсотка до призначеного на рік. З інших джерел  (в т.ч. благодійні внески, гранти, дарунки) бюджетними установами отримано 17834,5 тис.грн., що на 16793,0 тис.грн. перевищує запланований обсяг.</w:t>
      </w:r>
    </w:p>
    <w:p>
      <w:pPr>
        <w:pStyle w:val="Normal"/>
        <w:ind w:left="-540" w:firstLine="540"/>
        <w:jc w:val="both"/>
        <w:rPr>
          <w:sz w:val="28"/>
          <w:szCs w:val="28"/>
          <w:lang w:val="uk-UA"/>
        </w:rPr>
      </w:pPr>
      <w:r>
        <w:rPr>
          <w:sz w:val="28"/>
          <w:szCs w:val="28"/>
          <w:lang w:val="uk-UA"/>
        </w:rPr>
        <w:t>До бюджету розвитку надійшло  доходів в сумі  14129,9 тис.грн. з них коштів пайової участі у розвитку інфраструктури міста – 439,1 тис.грн., від відчуження майна, що перебуває у комунальній власності- 2058,9 тис.грн. та  продажу землі  несільськогосподарського призначення- 11631,9 тис.грн. Планові показники  по надходженню цих коштів виконані відповідно на  29,3, 102,9 та 129,2  відсотка.</w:t>
      </w:r>
    </w:p>
    <w:p>
      <w:pPr>
        <w:pStyle w:val="Normal"/>
        <w:ind w:left="-540" w:hanging="0"/>
        <w:jc w:val="both"/>
        <w:rPr>
          <w:b/>
          <w:b/>
          <w:sz w:val="28"/>
          <w:szCs w:val="28"/>
        </w:rPr>
      </w:pPr>
      <w:r>
        <w:rPr>
          <w:sz w:val="28"/>
          <w:szCs w:val="28"/>
          <w:lang w:val="uk-UA"/>
        </w:rPr>
        <w:t xml:space="preserve">      </w:t>
      </w:r>
      <w:r>
        <w:rPr>
          <w:sz w:val="28"/>
          <w:szCs w:val="28"/>
        </w:rPr>
        <w:t xml:space="preserve">Податковий борг з платежів до бюджету міста станом на 1.01.2019 року становить </w:t>
      </w:r>
      <w:r>
        <w:rPr>
          <w:sz w:val="28"/>
          <w:szCs w:val="28"/>
          <w:lang w:val="uk-UA"/>
        </w:rPr>
        <w:t>8614,9</w:t>
      </w:r>
      <w:r>
        <w:rPr>
          <w:sz w:val="28"/>
          <w:szCs w:val="28"/>
        </w:rPr>
        <w:t xml:space="preserve"> тис.грн., з них по податку та збору на  доходи фізичних осіб- </w:t>
      </w:r>
      <w:r>
        <w:rPr>
          <w:sz w:val="28"/>
          <w:szCs w:val="28"/>
          <w:lang w:val="uk-UA"/>
        </w:rPr>
        <w:t>161,8</w:t>
      </w:r>
      <w:r>
        <w:rPr>
          <w:sz w:val="28"/>
          <w:szCs w:val="28"/>
        </w:rPr>
        <w:t xml:space="preserve"> тис.грн., акцизному податку з реалізації суб’єктами господарювання  роздрібної торгівлі підакцизних товарів-</w:t>
      </w:r>
      <w:r>
        <w:rPr>
          <w:sz w:val="28"/>
          <w:szCs w:val="28"/>
          <w:lang w:val="uk-UA"/>
        </w:rPr>
        <w:t>1972,8</w:t>
      </w:r>
      <w:r>
        <w:rPr>
          <w:sz w:val="28"/>
          <w:szCs w:val="28"/>
        </w:rPr>
        <w:t xml:space="preserve"> тис.грн., по платі за землю-               </w:t>
      </w:r>
      <w:r>
        <w:rPr>
          <w:sz w:val="28"/>
          <w:szCs w:val="28"/>
          <w:lang w:val="uk-UA"/>
        </w:rPr>
        <w:t>3540,5</w:t>
      </w:r>
      <w:r>
        <w:rPr>
          <w:sz w:val="28"/>
          <w:szCs w:val="28"/>
        </w:rPr>
        <w:t xml:space="preserve"> тис.грн., податку на нерухоме майно, відмінне від земельної ділянки-</w:t>
      </w:r>
      <w:r>
        <w:rPr>
          <w:sz w:val="28"/>
          <w:szCs w:val="28"/>
          <w:lang w:val="uk-UA"/>
        </w:rPr>
        <w:t>1962,3</w:t>
      </w:r>
      <w:r>
        <w:rPr>
          <w:sz w:val="28"/>
          <w:szCs w:val="28"/>
        </w:rPr>
        <w:t xml:space="preserve"> тис.грн., єдиному податку-</w:t>
      </w:r>
      <w:r>
        <w:rPr>
          <w:sz w:val="28"/>
          <w:szCs w:val="28"/>
          <w:lang w:val="uk-UA"/>
        </w:rPr>
        <w:t>872,4</w:t>
      </w:r>
      <w:r>
        <w:rPr>
          <w:sz w:val="28"/>
          <w:szCs w:val="28"/>
        </w:rPr>
        <w:t xml:space="preserve"> тис.грн., транспортному податку з фізичних осіб-</w:t>
      </w:r>
      <w:r>
        <w:rPr>
          <w:sz w:val="28"/>
          <w:szCs w:val="28"/>
          <w:lang w:val="uk-UA"/>
        </w:rPr>
        <w:t>50</w:t>
      </w:r>
      <w:r>
        <w:rPr>
          <w:sz w:val="28"/>
          <w:szCs w:val="28"/>
        </w:rPr>
        <w:t>,0 тис.грн., збору за місця для паркування транспортних засобів-</w:t>
      </w:r>
      <w:r>
        <w:rPr>
          <w:sz w:val="28"/>
          <w:szCs w:val="28"/>
          <w:lang w:val="uk-UA"/>
        </w:rPr>
        <w:t>39,8</w:t>
      </w:r>
      <w:r>
        <w:rPr>
          <w:sz w:val="28"/>
          <w:szCs w:val="28"/>
        </w:rPr>
        <w:t xml:space="preserve"> тис.грн., адміністративних штрафах та штрафних санкціях за порушення законодавства у сфері виробництва та обігу алкогольних напоїв та тютюнових виробів- </w:t>
      </w:r>
      <w:r>
        <w:rPr>
          <w:sz w:val="28"/>
          <w:szCs w:val="28"/>
          <w:lang w:val="uk-UA"/>
        </w:rPr>
        <w:t>6,8</w:t>
      </w:r>
      <w:r>
        <w:rPr>
          <w:sz w:val="28"/>
          <w:szCs w:val="28"/>
        </w:rPr>
        <w:t xml:space="preserve"> тис.грн. З початку року  заборгованість до міського бюджету по сплаті податків і зборів зросла на </w:t>
      </w:r>
      <w:r>
        <w:rPr>
          <w:sz w:val="28"/>
          <w:szCs w:val="28"/>
          <w:lang w:val="uk-UA"/>
        </w:rPr>
        <w:t xml:space="preserve">4267,2 </w:t>
      </w:r>
      <w:r>
        <w:rPr>
          <w:sz w:val="28"/>
          <w:szCs w:val="28"/>
        </w:rPr>
        <w:t xml:space="preserve">тис.грн.  </w:t>
      </w:r>
    </w:p>
    <w:p>
      <w:pPr>
        <w:pStyle w:val="Style15"/>
        <w:ind w:left="-539" w:firstLine="719"/>
        <w:jc w:val="both"/>
        <w:rPr>
          <w:b/>
          <w:b/>
          <w:lang w:val="ru-RU"/>
        </w:rPr>
      </w:pPr>
      <w:r>
        <w:rPr>
          <w:b/>
          <w:lang w:val="ru-RU"/>
        </w:rPr>
      </w:r>
    </w:p>
    <w:p>
      <w:pPr>
        <w:pStyle w:val="Style15"/>
        <w:ind w:left="-539" w:firstLine="539"/>
        <w:jc w:val="both"/>
        <w:rPr/>
      </w:pPr>
      <w:r>
        <w:rPr>
          <w:b/>
        </w:rPr>
        <w:t xml:space="preserve">  </w:t>
      </w:r>
      <w:r>
        <w:rPr>
          <w:b/>
        </w:rPr>
        <w:t xml:space="preserve">В И Д А Т К И . </w:t>
      </w:r>
      <w:r>
        <w:rPr/>
        <w:t>Рівень виконання доходів міського бюджету забезпечив фінансування бюджетних видатків на загальну суму 842076,5 тис.грн., в тому числі по загальному фонду бюджету на суму 669907,4 тис.грн., та по спеціальному фонду бюджету на 172169,2 тис.грн. і виконання відповідно становить по бюджету міста 99,8 % до річного бюджетного призначення, в тому числі по загальному фонду 97,6 % та по спеціальному фонду 109,6 %.</w:t>
      </w:r>
    </w:p>
    <w:p>
      <w:pPr>
        <w:pStyle w:val="Normal"/>
        <w:ind w:left="-567" w:hanging="0"/>
        <w:jc w:val="both"/>
        <w:rPr>
          <w:sz w:val="28"/>
          <w:lang w:val="uk-UA"/>
        </w:rPr>
      </w:pPr>
      <w:r>
        <w:rPr>
          <w:sz w:val="28"/>
          <w:lang w:val="uk-UA"/>
        </w:rPr>
      </w:r>
    </w:p>
    <w:p>
      <w:pPr>
        <w:pStyle w:val="Normal"/>
        <w:ind w:left="-567" w:hanging="0"/>
        <w:jc w:val="both"/>
        <w:rPr>
          <w:sz w:val="28"/>
          <w:highlight w:val="yellow"/>
          <w:lang w:val="uk-UA"/>
        </w:rPr>
      </w:pPr>
      <w:r>
        <w:rPr/>
        <w:object>
          <v:shape id="ole_rId9" style="width:458.4pt;height:268.2pt" o:ole="">
            <v:imagedata r:id="rId10" o:title=""/>
          </v:shape>
          <o:OLEObject Type="Embed" ProgID="Excel.Chart.8" ShapeID="ole_rId9" DrawAspect="Content" ObjectID="_652638992" r:id="rId9"/>
        </w:object>
      </w:r>
    </w:p>
    <w:p>
      <w:pPr>
        <w:pStyle w:val="Normal"/>
        <w:ind w:left="-567" w:hanging="0"/>
        <w:jc w:val="both"/>
        <w:rPr>
          <w:sz w:val="28"/>
          <w:lang w:val="uk-UA"/>
        </w:rPr>
      </w:pPr>
      <w:r>
        <w:rPr>
          <w:sz w:val="28"/>
        </w:rPr>
        <w:t>Протягом  201</w:t>
      </w:r>
      <w:r>
        <w:rPr>
          <w:sz w:val="28"/>
          <w:lang w:val="uk-UA"/>
        </w:rPr>
        <w:t>9</w:t>
      </w:r>
      <w:r>
        <w:rPr>
          <w:sz w:val="28"/>
        </w:rPr>
        <w:t xml:space="preserve"> року здійснено видатків на </w:t>
      </w:r>
      <w:r>
        <w:rPr>
          <w:sz w:val="28"/>
          <w:lang w:val="uk-UA"/>
        </w:rPr>
        <w:t>41111,6</w:t>
      </w:r>
      <w:r>
        <w:rPr>
          <w:sz w:val="28"/>
        </w:rPr>
        <w:t xml:space="preserve"> тис.грн. </w:t>
      </w:r>
      <w:r>
        <w:rPr>
          <w:sz w:val="28"/>
          <w:lang w:val="uk-UA"/>
        </w:rPr>
        <w:t>мен</w:t>
      </w:r>
      <w:r>
        <w:rPr>
          <w:sz w:val="28"/>
        </w:rPr>
        <w:t>ше ніж у 201</w:t>
      </w:r>
      <w:r>
        <w:rPr>
          <w:sz w:val="28"/>
          <w:lang w:val="uk-UA"/>
        </w:rPr>
        <w:t>8</w:t>
      </w:r>
      <w:r>
        <w:rPr>
          <w:sz w:val="28"/>
        </w:rPr>
        <w:t xml:space="preserve"> році, в тому числі по загальному фонду бюджету на </w:t>
      </w:r>
      <w:r>
        <w:rPr>
          <w:sz w:val="28"/>
          <w:lang w:val="uk-UA"/>
        </w:rPr>
        <w:t>74975,4</w:t>
      </w:r>
      <w:r>
        <w:rPr>
          <w:sz w:val="28"/>
        </w:rPr>
        <w:t xml:space="preserve"> тис.грн. та по спеціальному фонду бюджету на </w:t>
      </w:r>
      <w:r>
        <w:rPr>
          <w:sz w:val="28"/>
          <w:lang w:val="uk-UA"/>
        </w:rPr>
        <w:t>33863,9</w:t>
      </w:r>
      <w:r>
        <w:rPr>
          <w:sz w:val="28"/>
        </w:rPr>
        <w:t xml:space="preserve"> тис.грн.</w:t>
      </w:r>
      <w:r>
        <w:rPr>
          <w:sz w:val="28"/>
          <w:lang w:val="uk-UA"/>
        </w:rPr>
        <w:t xml:space="preserve"> більше</w:t>
      </w:r>
    </w:p>
    <w:p>
      <w:pPr>
        <w:pStyle w:val="Normal"/>
        <w:tabs>
          <w:tab w:val="clear" w:pos="708"/>
          <w:tab w:val="left" w:pos="360" w:leader="none"/>
        </w:tabs>
        <w:ind w:left="-567" w:firstLine="567"/>
        <w:jc w:val="both"/>
        <w:rPr>
          <w:sz w:val="28"/>
        </w:rPr>
      </w:pPr>
      <w:r>
        <w:rPr>
          <w:sz w:val="28"/>
        </w:rPr>
        <w:t xml:space="preserve">Питома вага видатків загального фонду у бюджеті міста становить </w:t>
      </w:r>
      <w:r>
        <w:rPr>
          <w:sz w:val="28"/>
          <w:lang w:val="uk-UA"/>
        </w:rPr>
        <w:t xml:space="preserve">79,5 </w:t>
      </w:r>
      <w:r>
        <w:rPr>
          <w:sz w:val="28"/>
        </w:rPr>
        <w:t xml:space="preserve">%  та спеціального фонду – </w:t>
      </w:r>
      <w:r>
        <w:rPr>
          <w:sz w:val="28"/>
          <w:lang w:val="uk-UA"/>
        </w:rPr>
        <w:t>20,5</w:t>
      </w:r>
      <w:r>
        <w:rPr>
          <w:sz w:val="28"/>
        </w:rPr>
        <w:t xml:space="preserve"> %.</w:t>
      </w:r>
    </w:p>
    <w:p>
      <w:pPr>
        <w:pStyle w:val="Normal"/>
        <w:ind w:left="-567" w:hanging="0"/>
        <w:jc w:val="both"/>
        <w:rPr>
          <w:rFonts w:ascii="Arial" w:hAnsi="Arial" w:cs="Arial"/>
          <w:b/>
          <w:b/>
          <w:bCs/>
          <w:color w:val="000000"/>
          <w:sz w:val="18"/>
          <w:szCs w:val="18"/>
        </w:rPr>
      </w:pPr>
      <w:r>
        <w:rPr>
          <w:rFonts w:cs="Arial" w:ascii="Arial" w:hAnsi="Arial"/>
          <w:b/>
          <w:bCs/>
          <w:color w:val="000000"/>
          <w:sz w:val="18"/>
          <w:szCs w:val="18"/>
        </w:rPr>
      </w:r>
    </w:p>
    <w:p>
      <w:pPr>
        <w:pStyle w:val="Normal"/>
        <w:ind w:left="-567" w:hanging="0"/>
        <w:jc w:val="both"/>
        <w:rPr>
          <w:rFonts w:ascii="Arial" w:hAnsi="Arial" w:cs="Arial"/>
          <w:b/>
          <w:b/>
          <w:bCs/>
          <w:color w:val="000000"/>
          <w:sz w:val="18"/>
          <w:szCs w:val="18"/>
        </w:rPr>
      </w:pPr>
      <w:r>
        <w:rPr/>
        <w:object>
          <v:shape id="ole_rId11" style="width:441.6pt;height:264pt" o:ole="">
            <v:imagedata r:id="rId12" o:title=""/>
          </v:shape>
          <o:OLEObject Type="Embed" ProgID="Excel.Chart.8" ShapeID="ole_rId11" DrawAspect="Content" ObjectID="_83109922" r:id="rId11"/>
        </w:object>
      </w:r>
    </w:p>
    <w:p>
      <w:pPr>
        <w:pStyle w:val="Normal"/>
        <w:ind w:left="-567" w:hanging="0"/>
        <w:jc w:val="both"/>
        <w:rPr>
          <w:rFonts w:ascii="Arial" w:hAnsi="Arial" w:cs="Arial"/>
          <w:b/>
          <w:b/>
          <w:bCs/>
          <w:color w:val="000000"/>
          <w:sz w:val="18"/>
          <w:szCs w:val="18"/>
        </w:rPr>
      </w:pPr>
      <w:r>
        <w:rPr>
          <w:rFonts w:cs="Arial" w:ascii="Arial" w:hAnsi="Arial"/>
          <w:b/>
          <w:bCs/>
          <w:color w:val="000000"/>
          <w:sz w:val="18"/>
          <w:szCs w:val="18"/>
        </w:rPr>
      </w:r>
    </w:p>
    <w:p>
      <w:pPr>
        <w:pStyle w:val="Normal"/>
        <w:ind w:left="-567" w:hanging="0"/>
        <w:jc w:val="both"/>
        <w:rPr>
          <w:sz w:val="28"/>
          <w:lang w:eastAsia="ja-JP"/>
        </w:rPr>
      </w:pPr>
      <w:r>
        <w:rPr>
          <w:sz w:val="28"/>
          <w:lang w:eastAsia="ja-JP"/>
        </w:rPr>
        <w:t xml:space="preserve">         </w:t>
      </w:r>
      <w:r>
        <w:rPr>
          <w:sz w:val="28"/>
          <w:lang w:eastAsia="ja-JP"/>
        </w:rPr>
        <w:t xml:space="preserve">В звітному періоді забезпечено виплату заробітної плати працівникам бюджетних установ в установлені терміни та в повному обсязі з врахуванням підвищень. На оплату праці з нарахуванням працівникам бюджетної сфери спрямовано </w:t>
      </w:r>
      <w:r>
        <w:rPr>
          <w:sz w:val="28"/>
          <w:lang w:val="uk-UA" w:eastAsia="ja-JP"/>
        </w:rPr>
        <w:t>355640,0</w:t>
      </w:r>
      <w:r>
        <w:rPr>
          <w:sz w:val="28"/>
          <w:lang w:eastAsia="ja-JP"/>
        </w:rPr>
        <w:t xml:space="preserve"> тис.грн., або </w:t>
      </w:r>
      <w:r>
        <w:rPr>
          <w:sz w:val="28"/>
          <w:lang w:val="uk-UA" w:eastAsia="ja-JP"/>
        </w:rPr>
        <w:t>53,1</w:t>
      </w:r>
      <w:r>
        <w:rPr>
          <w:sz w:val="28"/>
          <w:lang w:eastAsia="ja-JP"/>
        </w:rPr>
        <w:t xml:space="preserve"> відсотка до видатків загального фонду міського бюджету. </w:t>
      </w:r>
    </w:p>
    <w:p>
      <w:pPr>
        <w:pStyle w:val="Normal"/>
        <w:ind w:left="-567" w:hanging="0"/>
        <w:jc w:val="both"/>
        <w:rPr>
          <w:sz w:val="28"/>
          <w:lang w:eastAsia="ja-JP"/>
        </w:rPr>
      </w:pPr>
      <w:r>
        <w:rPr>
          <w:sz w:val="28"/>
          <w:lang w:eastAsia="ja-JP"/>
        </w:rPr>
        <w:t xml:space="preserve">          </w:t>
      </w:r>
      <w:r>
        <w:rPr>
          <w:sz w:val="28"/>
          <w:lang w:eastAsia="ja-JP"/>
        </w:rPr>
        <w:t xml:space="preserve">Вчасно і в повному обсязі проводились розрахунки за спожиті бюджетними установами енергоносії та комунальні послуги, на які спрямовано </w:t>
      </w:r>
      <w:r>
        <w:rPr>
          <w:sz w:val="28"/>
          <w:lang w:val="uk-UA" w:eastAsia="ja-JP"/>
        </w:rPr>
        <w:t>37436,3</w:t>
      </w:r>
      <w:r>
        <w:rPr>
          <w:sz w:val="28"/>
          <w:lang w:eastAsia="ja-JP"/>
        </w:rPr>
        <w:t xml:space="preserve"> тис.грн., або </w:t>
      </w:r>
      <w:r>
        <w:rPr>
          <w:sz w:val="28"/>
          <w:lang w:val="uk-UA" w:eastAsia="ja-JP"/>
        </w:rPr>
        <w:t>5,6</w:t>
      </w:r>
      <w:r>
        <w:rPr>
          <w:sz w:val="28"/>
          <w:lang w:eastAsia="ja-JP"/>
        </w:rPr>
        <w:t xml:space="preserve"> відсотка до видатків</w:t>
      </w:r>
      <w:r>
        <w:rPr>
          <w:sz w:val="28"/>
          <w:lang w:val="uk-UA" w:eastAsia="ja-JP"/>
        </w:rPr>
        <w:t xml:space="preserve"> загального фонду</w:t>
      </w:r>
      <w:r>
        <w:rPr>
          <w:sz w:val="28"/>
          <w:lang w:eastAsia="ja-JP"/>
        </w:rPr>
        <w:t xml:space="preserve"> бюджету.</w:t>
      </w:r>
    </w:p>
    <w:p>
      <w:pPr>
        <w:pStyle w:val="Normal"/>
        <w:ind w:left="-567" w:firstLine="142"/>
        <w:jc w:val="both"/>
        <w:rPr>
          <w:sz w:val="28"/>
          <w:lang w:val="uk-UA" w:eastAsia="ja-JP"/>
        </w:rPr>
      </w:pPr>
      <w:r>
        <w:rPr>
          <w:sz w:val="28"/>
          <w:lang w:eastAsia="ja-JP"/>
        </w:rPr>
        <w:t xml:space="preserve">       </w:t>
      </w:r>
      <w:r>
        <w:rPr>
          <w:sz w:val="28"/>
          <w:lang w:eastAsia="ja-JP"/>
        </w:rPr>
        <w:t xml:space="preserve">Видатки міського бюджету на захищені статті витрат в звітному періоді становили </w:t>
      </w:r>
      <w:r>
        <w:rPr>
          <w:sz w:val="28"/>
          <w:lang w:val="uk-UA" w:eastAsia="ja-JP"/>
        </w:rPr>
        <w:t>489130,5</w:t>
      </w:r>
      <w:r>
        <w:rPr>
          <w:sz w:val="28"/>
          <w:lang w:eastAsia="ja-JP"/>
        </w:rPr>
        <w:t xml:space="preserve"> тис.грн., або </w:t>
      </w:r>
      <w:r>
        <w:rPr>
          <w:sz w:val="28"/>
          <w:lang w:val="uk-UA" w:eastAsia="ja-JP"/>
        </w:rPr>
        <w:t>73,0</w:t>
      </w:r>
      <w:r>
        <w:rPr>
          <w:sz w:val="28"/>
          <w:lang w:eastAsia="ja-JP"/>
        </w:rPr>
        <w:t xml:space="preserve"> відсотка </w:t>
      </w:r>
      <w:r>
        <w:rPr>
          <w:sz w:val="28"/>
          <w:lang w:val="uk-UA" w:eastAsia="ja-JP"/>
        </w:rPr>
        <w:t xml:space="preserve">до </w:t>
      </w:r>
      <w:r>
        <w:rPr>
          <w:sz w:val="28"/>
          <w:lang w:eastAsia="ja-JP"/>
        </w:rPr>
        <w:t xml:space="preserve">видатків </w:t>
      </w:r>
      <w:r>
        <w:rPr>
          <w:sz w:val="28"/>
          <w:lang w:val="uk-UA" w:eastAsia="ja-JP"/>
        </w:rPr>
        <w:t xml:space="preserve">загального фонду </w:t>
      </w:r>
      <w:r>
        <w:rPr>
          <w:sz w:val="28"/>
          <w:lang w:eastAsia="ja-JP"/>
        </w:rPr>
        <w:t>бюджету.</w:t>
      </w:r>
    </w:p>
    <w:p>
      <w:pPr>
        <w:pStyle w:val="Normal"/>
        <w:ind w:left="-567" w:firstLine="709"/>
        <w:jc w:val="both"/>
        <w:rPr>
          <w:sz w:val="28"/>
          <w:lang w:val="uk-UA" w:eastAsia="ja-JP"/>
        </w:rPr>
      </w:pPr>
      <w:r>
        <w:rPr>
          <w:b/>
          <w:sz w:val="28"/>
          <w:lang w:eastAsia="ja-JP"/>
        </w:rPr>
        <w:t>Органи місцевого самоврядування</w:t>
      </w:r>
      <w:r>
        <w:rPr>
          <w:sz w:val="28"/>
          <w:lang w:eastAsia="ja-JP"/>
        </w:rPr>
        <w:t xml:space="preserve"> профінансовані на суму</w:t>
      </w:r>
      <w:r>
        <w:rPr>
          <w:sz w:val="28"/>
          <w:lang w:val="uk-UA" w:eastAsia="ja-JP"/>
        </w:rPr>
        <w:t xml:space="preserve"> 40792,7</w:t>
      </w:r>
      <w:r>
        <w:rPr>
          <w:sz w:val="28"/>
          <w:lang w:eastAsia="ja-JP"/>
        </w:rPr>
        <w:t xml:space="preserve"> тис.грн., виконання становить 9</w:t>
      </w:r>
      <w:r>
        <w:rPr>
          <w:sz w:val="28"/>
          <w:lang w:val="uk-UA" w:eastAsia="ja-JP"/>
        </w:rPr>
        <w:t>9,8</w:t>
      </w:r>
      <w:r>
        <w:rPr>
          <w:sz w:val="28"/>
          <w:lang w:eastAsia="ja-JP"/>
        </w:rPr>
        <w:t xml:space="preserve"> відсотка до річного  призначення. </w:t>
      </w:r>
    </w:p>
    <w:p>
      <w:pPr>
        <w:pStyle w:val="Normal"/>
        <w:ind w:left="-567" w:firstLine="709"/>
        <w:jc w:val="both"/>
        <w:rPr>
          <w:sz w:val="28"/>
          <w:lang w:val="uk-UA" w:eastAsia="ja-JP"/>
        </w:rPr>
      </w:pPr>
      <w:r>
        <w:rPr>
          <w:sz w:val="28"/>
          <w:lang w:eastAsia="ja-JP"/>
        </w:rPr>
        <w:t>Станом на 1.01.20</w:t>
      </w:r>
      <w:r>
        <w:rPr>
          <w:sz w:val="28"/>
          <w:lang w:val="uk-UA" w:eastAsia="ja-JP"/>
        </w:rPr>
        <w:t>20</w:t>
      </w:r>
      <w:r>
        <w:rPr>
          <w:sz w:val="28"/>
          <w:lang w:eastAsia="ja-JP"/>
        </w:rPr>
        <w:t xml:space="preserve"> року в органах місцевого самоврядування налічується 1</w:t>
      </w:r>
      <w:r>
        <w:rPr>
          <w:sz w:val="28"/>
          <w:lang w:val="uk-UA" w:eastAsia="ja-JP"/>
        </w:rPr>
        <w:t>71</w:t>
      </w:r>
      <w:r>
        <w:rPr>
          <w:sz w:val="28"/>
          <w:lang w:eastAsia="ja-JP"/>
        </w:rPr>
        <w:t xml:space="preserve"> штатн</w:t>
      </w:r>
      <w:r>
        <w:rPr>
          <w:sz w:val="28"/>
          <w:lang w:val="uk-UA" w:eastAsia="ja-JP"/>
        </w:rPr>
        <w:t>і</w:t>
      </w:r>
      <w:r>
        <w:rPr>
          <w:sz w:val="28"/>
          <w:lang w:eastAsia="ja-JP"/>
        </w:rPr>
        <w:t xml:space="preserve"> одиниц</w:t>
      </w:r>
      <w:r>
        <w:rPr>
          <w:sz w:val="28"/>
          <w:lang w:val="uk-UA" w:eastAsia="ja-JP"/>
        </w:rPr>
        <w:t>і</w:t>
      </w:r>
      <w:r>
        <w:rPr>
          <w:sz w:val="28"/>
          <w:lang w:eastAsia="ja-JP"/>
        </w:rPr>
        <w:t>, фактично зайнято 1</w:t>
      </w:r>
      <w:r>
        <w:rPr>
          <w:sz w:val="28"/>
          <w:lang w:val="uk-UA" w:eastAsia="ja-JP"/>
        </w:rPr>
        <w:t>64</w:t>
      </w:r>
      <w:r>
        <w:rPr>
          <w:sz w:val="28"/>
          <w:lang w:eastAsia="ja-JP"/>
        </w:rPr>
        <w:t xml:space="preserve">,5 посади. </w:t>
      </w:r>
    </w:p>
    <w:p>
      <w:pPr>
        <w:pStyle w:val="Normal"/>
        <w:ind w:left="-567" w:firstLine="709"/>
        <w:jc w:val="both"/>
        <w:rPr>
          <w:sz w:val="28"/>
          <w:lang w:val="uk-UA" w:eastAsia="ja-JP"/>
        </w:rPr>
      </w:pPr>
      <w:r>
        <w:rPr>
          <w:b/>
          <w:sz w:val="28"/>
        </w:rPr>
        <w:t>Заклади освіти</w:t>
      </w:r>
      <w:r>
        <w:rPr>
          <w:sz w:val="28"/>
        </w:rPr>
        <w:t xml:space="preserve"> в звітному періоді профінансовані на суму  </w:t>
      </w:r>
      <w:r>
        <w:rPr>
          <w:sz w:val="28"/>
          <w:lang w:val="uk-UA"/>
        </w:rPr>
        <w:t>259994,5</w:t>
      </w:r>
      <w:r>
        <w:rPr>
          <w:sz w:val="28"/>
        </w:rPr>
        <w:t xml:space="preserve"> тис. грн., </w:t>
      </w:r>
      <w:r>
        <w:rPr>
          <w:sz w:val="28"/>
          <w:lang w:val="uk-UA"/>
        </w:rPr>
        <w:t>виконання</w:t>
      </w:r>
      <w:r>
        <w:rPr>
          <w:sz w:val="28"/>
        </w:rPr>
        <w:t xml:space="preserve">  становить 99,</w:t>
      </w:r>
      <w:r>
        <w:rPr>
          <w:sz w:val="28"/>
          <w:lang w:val="uk-UA"/>
        </w:rPr>
        <w:t>7</w:t>
      </w:r>
      <w:r>
        <w:rPr>
          <w:sz w:val="28"/>
        </w:rPr>
        <w:t xml:space="preserve"> % до річного   бюджетного призначення. Слід відмітити, що фінансування на освіту займає </w:t>
      </w:r>
      <w:r>
        <w:rPr>
          <w:sz w:val="28"/>
          <w:lang w:val="uk-UA"/>
        </w:rPr>
        <w:t>першу</w:t>
      </w:r>
      <w:r>
        <w:rPr>
          <w:sz w:val="28"/>
        </w:rPr>
        <w:t xml:space="preserve"> позицію у питомій вазі  видатків міського бюджету і становить </w:t>
      </w:r>
      <w:r>
        <w:rPr>
          <w:sz w:val="28"/>
          <w:lang w:val="uk-UA"/>
        </w:rPr>
        <w:t>38,8</w:t>
      </w:r>
      <w:r>
        <w:rPr>
          <w:sz w:val="28"/>
        </w:rPr>
        <w:t xml:space="preserve"> відсотк</w:t>
      </w:r>
      <w:r>
        <w:rPr>
          <w:sz w:val="28"/>
          <w:lang w:val="uk-UA"/>
        </w:rPr>
        <w:t>а</w:t>
      </w:r>
      <w:r>
        <w:rPr>
          <w:sz w:val="28"/>
        </w:rPr>
        <w:t>.</w:t>
      </w:r>
      <w:r>
        <w:rPr>
          <w:sz w:val="28"/>
          <w:lang w:val="uk-UA"/>
        </w:rPr>
        <w:t xml:space="preserve"> </w:t>
      </w:r>
      <w:r>
        <w:rPr>
          <w:sz w:val="28"/>
        </w:rPr>
        <w:t xml:space="preserve">На оплату заробітної плати працівникам цієї галузі з нарахуванням використано </w:t>
      </w:r>
      <w:r>
        <w:rPr>
          <w:sz w:val="28"/>
          <w:lang w:val="uk-UA"/>
        </w:rPr>
        <w:t>219846,8</w:t>
      </w:r>
      <w:r>
        <w:rPr>
          <w:sz w:val="28"/>
        </w:rPr>
        <w:t xml:space="preserve"> тис.грн. На </w:t>
      </w:r>
      <w:r>
        <w:rPr>
          <w:sz w:val="28"/>
          <w:lang w:eastAsia="ja-JP"/>
        </w:rPr>
        <w:t xml:space="preserve">придбання продуктів харчування – </w:t>
      </w:r>
      <w:r>
        <w:rPr>
          <w:sz w:val="28"/>
          <w:lang w:val="uk-UA" w:eastAsia="ja-JP"/>
        </w:rPr>
        <w:t>8759,6</w:t>
      </w:r>
      <w:r>
        <w:rPr>
          <w:sz w:val="28"/>
          <w:lang w:eastAsia="ja-JP"/>
        </w:rPr>
        <w:t xml:space="preserve"> тис.грн., на оплату енергоносіїв та комунальних послуг – </w:t>
      </w:r>
      <w:r>
        <w:rPr>
          <w:sz w:val="28"/>
          <w:lang w:val="uk-UA" w:eastAsia="ja-JP"/>
        </w:rPr>
        <w:t>21917,8</w:t>
      </w:r>
      <w:r>
        <w:rPr>
          <w:sz w:val="28"/>
          <w:lang w:eastAsia="ja-JP"/>
        </w:rPr>
        <w:t xml:space="preserve"> тис.грн., на капітальні витрати – </w:t>
      </w:r>
      <w:r>
        <w:rPr>
          <w:sz w:val="28"/>
          <w:lang w:val="uk-UA" w:eastAsia="ja-JP"/>
        </w:rPr>
        <w:t>12172,2 тис.грн.</w:t>
      </w:r>
    </w:p>
    <w:p>
      <w:pPr>
        <w:pStyle w:val="Normal"/>
        <w:ind w:left="-567" w:firstLine="709"/>
        <w:jc w:val="both"/>
        <w:rPr>
          <w:highlight w:val="yellow"/>
          <w:lang w:val="uk-UA"/>
        </w:rPr>
      </w:pPr>
      <w:r>
        <w:rPr/>
        <w:object>
          <v:shape id="ole_rId13" style="width:468pt;height:259.2pt" o:ole="">
            <v:imagedata r:id="rId14" o:title=""/>
          </v:shape>
          <o:OLEObject Type="Embed" ProgID="Excel.Chart.8" ShapeID="ole_rId13" DrawAspect="Content" ObjectID="_2048507996" r:id="rId13"/>
        </w:object>
      </w:r>
    </w:p>
    <w:p>
      <w:pPr>
        <w:pStyle w:val="Normal"/>
        <w:ind w:left="-567" w:firstLine="709"/>
        <w:jc w:val="both"/>
        <w:rPr>
          <w:sz w:val="28"/>
          <w:highlight w:val="yellow"/>
          <w:lang w:val="uk-UA" w:eastAsia="ja-JP"/>
        </w:rPr>
      </w:pPr>
      <w:r>
        <w:rPr>
          <w:sz w:val="28"/>
          <w:highlight w:val="yellow"/>
          <w:lang w:val="uk-UA" w:eastAsia="ja-JP"/>
        </w:rPr>
      </w:r>
    </w:p>
    <w:p>
      <w:pPr>
        <w:pStyle w:val="Normal"/>
        <w:ind w:left="-540" w:firstLine="682"/>
        <w:jc w:val="both"/>
        <w:rPr>
          <w:sz w:val="28"/>
          <w:szCs w:val="28"/>
          <w:lang w:val="uk-UA"/>
        </w:rPr>
      </w:pPr>
      <w:r>
        <w:rPr>
          <w:sz w:val="28"/>
          <w:szCs w:val="28"/>
          <w:lang w:val="uk-UA"/>
        </w:rPr>
        <w:t>Зазначені бюджетні асигнування забезпечили належне утримання 13 шкіл, 14 дошкільних закладів, 4 позашкільних установ, методкабінет, вечірню школу, централізовану бухгалтерію, господарську групу, ПМПК управління освіти та 2 шкіл естетичного виховання (музичними та художніми) відділу культури.</w:t>
      </w:r>
    </w:p>
    <w:p>
      <w:pPr>
        <w:pStyle w:val="Normal"/>
        <w:ind w:left="-567" w:firstLine="682"/>
        <w:jc w:val="both"/>
        <w:rPr>
          <w:sz w:val="28"/>
          <w:szCs w:val="28"/>
        </w:rPr>
      </w:pPr>
      <w:r>
        <w:rPr>
          <w:sz w:val="28"/>
          <w:szCs w:val="28"/>
        </w:rPr>
        <w:t>В школах міського управління освіти станом на 31.12.2019 року навчається 9873 учнів, з них 9752 учнів денних шкіл і 121 учнів у вечірній школі. В школах налічується 360 класи, в вечірній школі - 4 класи.</w:t>
      </w:r>
    </w:p>
    <w:p>
      <w:pPr>
        <w:pStyle w:val="Normal"/>
        <w:ind w:left="-567" w:firstLine="682"/>
        <w:jc w:val="both"/>
        <w:rPr>
          <w:sz w:val="28"/>
          <w:szCs w:val="28"/>
        </w:rPr>
      </w:pPr>
      <w:r>
        <w:rPr>
          <w:sz w:val="28"/>
          <w:szCs w:val="28"/>
        </w:rPr>
        <w:t>В 14 дошкільних закладах міста станом на 31.12.2019 року налічується 123 групи, які відвідує 3022 дитина. Звільнено від батьківської плати на 100% - 306дитина, на 50% - 513 дитини.</w:t>
      </w:r>
    </w:p>
    <w:p>
      <w:pPr>
        <w:pStyle w:val="Normal"/>
        <w:ind w:left="-567" w:firstLine="682"/>
        <w:jc w:val="both"/>
        <w:rPr>
          <w:sz w:val="28"/>
          <w:szCs w:val="28"/>
        </w:rPr>
      </w:pPr>
      <w:r>
        <w:rPr>
          <w:sz w:val="28"/>
          <w:szCs w:val="28"/>
        </w:rPr>
        <w:t>Середня норма харчування дітей в дитячих дошкільних закладах становить для дітей ясельного віку – 25,00 грн. та для дітей дошкільного віку – 30,00 грн. на 1 діто-день. В школах грошові норми видатків на безкоштовне харчування для дітей пільгових категорій складають –  8 грн. в день на одну дитину, для учнів 1-4 класів – 6 грн. Харчування надається 54 дітям-сиротам, 160 учням 1-4 класів з малозабезпечених сімей, 35 дітям з інвалідністю в інклюзивних класах, 383 дітям, батьки яких загинули або є учасниками АТО та 4147 учням 1-4 класів.</w:t>
      </w:r>
    </w:p>
    <w:p>
      <w:pPr>
        <w:pStyle w:val="Normal"/>
        <w:ind w:left="-567" w:firstLine="682"/>
        <w:jc w:val="both"/>
        <w:rPr>
          <w:sz w:val="28"/>
          <w:szCs w:val="28"/>
        </w:rPr>
      </w:pPr>
      <w:r>
        <w:rPr>
          <w:sz w:val="28"/>
          <w:szCs w:val="28"/>
        </w:rPr>
        <w:t xml:space="preserve">В чотирьох позашкільних установах міста станом на 31.12.2019 року функціонує 131 група, в яких займається 2337 учнів. </w:t>
      </w:r>
    </w:p>
    <w:p>
      <w:pPr>
        <w:pStyle w:val="Normal"/>
        <w:ind w:left="-540" w:firstLine="720"/>
        <w:jc w:val="both"/>
        <w:rPr>
          <w:sz w:val="28"/>
          <w:szCs w:val="28"/>
          <w:lang w:val="uk-UA"/>
        </w:rPr>
      </w:pPr>
      <w:r>
        <w:rPr>
          <w:sz w:val="28"/>
          <w:szCs w:val="28"/>
          <w:lang w:val="uk-UA"/>
        </w:rPr>
        <w:t>Витрати на оздоровлення дітей в пришкільних таборах становили 740494  грн., в яких оздоровлено 1710 учнів.</w:t>
      </w:r>
    </w:p>
    <w:p>
      <w:pPr>
        <w:pStyle w:val="Normal"/>
        <w:ind w:left="-567" w:firstLine="709"/>
        <w:jc w:val="both"/>
        <w:rPr>
          <w:sz w:val="28"/>
          <w:highlight w:val="yellow"/>
          <w:lang w:val="uk-UA"/>
        </w:rPr>
      </w:pPr>
      <w:r>
        <w:rPr>
          <w:sz w:val="28"/>
          <w:highlight w:val="yellow"/>
          <w:lang w:val="uk-UA"/>
        </w:rPr>
      </w:r>
    </w:p>
    <w:p>
      <w:pPr>
        <w:pStyle w:val="Normal"/>
        <w:ind w:left="-567" w:firstLine="709"/>
        <w:jc w:val="both"/>
        <w:rPr>
          <w:sz w:val="28"/>
          <w:lang w:eastAsia="ja-JP"/>
        </w:rPr>
      </w:pPr>
      <w:r>
        <w:rPr>
          <w:b/>
          <w:sz w:val="28"/>
        </w:rPr>
        <w:t>Заклади охорони здоров’я</w:t>
      </w:r>
      <w:r>
        <w:rPr>
          <w:sz w:val="28"/>
        </w:rPr>
        <w:t xml:space="preserve">  профінансовано на суму </w:t>
      </w:r>
      <w:r>
        <w:rPr>
          <w:sz w:val="28"/>
          <w:lang w:val="uk-UA"/>
        </w:rPr>
        <w:t>116061,1</w:t>
      </w:r>
      <w:r>
        <w:rPr>
          <w:sz w:val="28"/>
        </w:rPr>
        <w:t xml:space="preserve"> тис.грн. або на 9</w:t>
      </w:r>
      <w:r>
        <w:rPr>
          <w:sz w:val="28"/>
          <w:lang w:val="uk-UA"/>
        </w:rPr>
        <w:t>8</w:t>
      </w:r>
      <w:r>
        <w:rPr>
          <w:sz w:val="28"/>
        </w:rPr>
        <w:t>,</w:t>
      </w:r>
      <w:r>
        <w:rPr>
          <w:sz w:val="28"/>
          <w:lang w:val="uk-UA"/>
        </w:rPr>
        <w:t>4</w:t>
      </w:r>
      <w:r>
        <w:rPr>
          <w:sz w:val="28"/>
        </w:rPr>
        <w:t xml:space="preserve"> відсотка до річного бюджетного призначення.  На оплату заробітної плати працівникам цієї галузі з нарахуванням використано </w:t>
      </w:r>
      <w:r>
        <w:rPr>
          <w:sz w:val="28"/>
          <w:lang w:val="uk-UA"/>
        </w:rPr>
        <w:t>85062,2</w:t>
      </w:r>
      <w:r>
        <w:rPr>
          <w:sz w:val="28"/>
        </w:rPr>
        <w:t xml:space="preserve"> тис.грн. На придбання медикаментів та перев</w:t>
      </w:r>
      <w:r>
        <w:rPr>
          <w:sz w:val="28"/>
          <w:lang w:eastAsia="ja-JP"/>
        </w:rPr>
        <w:t xml:space="preserve">’язувальних матеріалів витрачено </w:t>
      </w:r>
      <w:r>
        <w:rPr>
          <w:sz w:val="28"/>
          <w:lang w:val="uk-UA" w:eastAsia="ja-JP"/>
        </w:rPr>
        <w:t>9479,2</w:t>
      </w:r>
      <w:r>
        <w:rPr>
          <w:sz w:val="28"/>
          <w:lang w:eastAsia="ja-JP"/>
        </w:rPr>
        <w:t xml:space="preserve"> тис.грн., на придбання продуктів харчування – </w:t>
      </w:r>
      <w:r>
        <w:rPr>
          <w:sz w:val="28"/>
          <w:lang w:val="uk-UA" w:eastAsia="ja-JP"/>
        </w:rPr>
        <w:t>1572,5</w:t>
      </w:r>
      <w:r>
        <w:rPr>
          <w:sz w:val="28"/>
          <w:lang w:eastAsia="ja-JP"/>
        </w:rPr>
        <w:t xml:space="preserve"> тис.грн., на оплату енергоносіїв та комунальних послуг – </w:t>
      </w:r>
      <w:r>
        <w:rPr>
          <w:sz w:val="28"/>
          <w:lang w:val="uk-UA" w:eastAsia="ja-JP"/>
        </w:rPr>
        <w:t>12593,5</w:t>
      </w:r>
      <w:r>
        <w:rPr>
          <w:sz w:val="28"/>
          <w:lang w:eastAsia="ja-JP"/>
        </w:rPr>
        <w:t xml:space="preserve"> тис.грн., на капітальні витрати – </w:t>
      </w:r>
      <w:r>
        <w:rPr>
          <w:sz w:val="28"/>
          <w:lang w:val="uk-UA" w:eastAsia="ja-JP"/>
        </w:rPr>
        <w:t xml:space="preserve">39143,7тис.грн. </w:t>
      </w:r>
      <w:r>
        <w:rPr>
          <w:sz w:val="28"/>
          <w:lang w:eastAsia="ja-JP"/>
        </w:rPr>
        <w:t xml:space="preserve">Питома вага витрат загального фонду міського бюджету на охорону здоров’я становить  </w:t>
      </w:r>
      <w:r>
        <w:rPr>
          <w:sz w:val="28"/>
          <w:lang w:val="uk-UA" w:eastAsia="ja-JP"/>
        </w:rPr>
        <w:t>17,3</w:t>
      </w:r>
      <w:r>
        <w:rPr>
          <w:sz w:val="28"/>
          <w:lang w:eastAsia="ja-JP"/>
        </w:rPr>
        <w:t xml:space="preserve"> відсотк</w:t>
      </w:r>
      <w:r>
        <w:rPr>
          <w:sz w:val="28"/>
          <w:lang w:val="uk-UA" w:eastAsia="ja-JP"/>
        </w:rPr>
        <w:t>а</w:t>
      </w:r>
      <w:r>
        <w:rPr>
          <w:sz w:val="28"/>
          <w:lang w:eastAsia="ja-JP"/>
        </w:rPr>
        <w:t>.</w:t>
      </w:r>
    </w:p>
    <w:p>
      <w:pPr>
        <w:pStyle w:val="Normal"/>
        <w:ind w:left="-567" w:firstLine="567"/>
        <w:jc w:val="both"/>
        <w:rPr>
          <w:sz w:val="28"/>
          <w:lang w:val="uk-UA" w:eastAsia="ja-JP"/>
        </w:rPr>
      </w:pPr>
      <w:r>
        <w:rPr>
          <w:sz w:val="28"/>
          <w:lang w:val="uk-UA" w:eastAsia="ja-JP"/>
        </w:rPr>
        <w:t>На виконання програми протидії захворюванню на туберкульоз профінансовано 185,0 тис.грн.,  витрати на централізовані заходи з лікування хворих на цукровий та нецукровий діабет склали 3376,9 тис.грн., на відшкодування вартості лікарських засобів для лікування окремих захворювань – 851,8 тис.грн., на інші програми та заходи у сфері охорони здоров’я – 8709,3 тис.грн.</w:t>
      </w:r>
    </w:p>
    <w:p>
      <w:pPr>
        <w:pStyle w:val="Normal"/>
        <w:ind w:left="-567" w:firstLine="709"/>
        <w:jc w:val="both"/>
        <w:rPr>
          <w:sz w:val="28"/>
          <w:highlight w:val="yellow"/>
          <w:lang w:eastAsia="ja-JP"/>
        </w:rPr>
      </w:pPr>
      <w:r>
        <w:rPr/>
        <w:object>
          <v:shape id="ole_rId15" style="width:407.4pt;height:259.8pt" o:ole="">
            <v:imagedata r:id="rId16" o:title=""/>
          </v:shape>
          <o:OLEObject Type="Embed" ProgID="Excel.Chart.8" ShapeID="ole_rId15" DrawAspect="Content" ObjectID="_1595442972" r:id="rId15"/>
        </w:object>
      </w:r>
    </w:p>
    <w:p>
      <w:pPr>
        <w:pStyle w:val="Normal"/>
        <w:ind w:left="-567" w:firstLine="709"/>
        <w:jc w:val="both"/>
        <w:rPr>
          <w:sz w:val="28"/>
          <w:highlight w:val="yellow"/>
          <w:lang w:val="uk-UA" w:eastAsia="ja-JP"/>
        </w:rPr>
      </w:pPr>
      <w:r>
        <w:rPr>
          <w:sz w:val="28"/>
          <w:lang w:eastAsia="ja-JP"/>
        </w:rPr>
        <w:t>Станом на 1.01.20</w:t>
      </w:r>
      <w:r>
        <w:rPr>
          <w:sz w:val="28"/>
          <w:lang w:val="uk-UA" w:eastAsia="ja-JP"/>
        </w:rPr>
        <w:t>20</w:t>
      </w:r>
      <w:r>
        <w:rPr>
          <w:sz w:val="28"/>
          <w:lang w:eastAsia="ja-JP"/>
        </w:rPr>
        <w:t xml:space="preserve"> року в закладах охорони здоров’я налічується 1</w:t>
      </w:r>
      <w:r>
        <w:rPr>
          <w:sz w:val="28"/>
          <w:lang w:val="uk-UA" w:eastAsia="ja-JP"/>
        </w:rPr>
        <w:t>053,0</w:t>
      </w:r>
      <w:r>
        <w:rPr>
          <w:sz w:val="28"/>
          <w:lang w:eastAsia="ja-JP"/>
        </w:rPr>
        <w:t xml:space="preserve"> штатних одиниць</w:t>
      </w:r>
      <w:r>
        <w:rPr>
          <w:sz w:val="28"/>
          <w:lang w:val="uk-UA" w:eastAsia="ja-JP"/>
        </w:rPr>
        <w:t xml:space="preserve">. </w:t>
      </w:r>
      <w:r>
        <w:rPr>
          <w:sz w:val="28"/>
          <w:lang w:eastAsia="ja-JP"/>
        </w:rPr>
        <w:t>Фактично зайнято на 01.01.20</w:t>
      </w:r>
      <w:r>
        <w:rPr>
          <w:sz w:val="28"/>
          <w:lang w:val="uk-UA" w:eastAsia="ja-JP"/>
        </w:rPr>
        <w:t>20</w:t>
      </w:r>
      <w:r>
        <w:rPr>
          <w:sz w:val="28"/>
          <w:lang w:eastAsia="ja-JP"/>
        </w:rPr>
        <w:t xml:space="preserve"> року 1</w:t>
      </w:r>
      <w:r>
        <w:rPr>
          <w:sz w:val="28"/>
          <w:lang w:val="uk-UA" w:eastAsia="ja-JP"/>
        </w:rPr>
        <w:t>042,0</w:t>
      </w:r>
      <w:r>
        <w:rPr>
          <w:sz w:val="28"/>
          <w:lang w:eastAsia="ja-JP"/>
        </w:rPr>
        <w:t xml:space="preserve"> посад</w:t>
      </w:r>
      <w:r>
        <w:rPr>
          <w:sz w:val="28"/>
          <w:lang w:val="uk-UA" w:eastAsia="ja-JP"/>
        </w:rPr>
        <w:t>.</w:t>
      </w:r>
    </w:p>
    <w:p>
      <w:pPr>
        <w:pStyle w:val="FR21"/>
        <w:spacing w:before="0" w:after="0"/>
        <w:ind w:left="-540" w:firstLine="720"/>
        <w:jc w:val="both"/>
        <w:rPr>
          <w:rFonts w:ascii="Times New Roman" w:hAnsi="Times New Roman" w:cs="Times New Roman"/>
          <w:sz w:val="28"/>
          <w:szCs w:val="28"/>
          <w:highlight w:val="white"/>
        </w:rPr>
      </w:pPr>
      <w:r>
        <w:rPr>
          <w:rFonts w:cs="Times New Roman" w:ascii="Times New Roman" w:hAnsi="Times New Roman"/>
          <w:sz w:val="28"/>
          <w:szCs w:val="28"/>
          <w:shd w:fill="FFFFFF" w:val="clear"/>
        </w:rPr>
        <w:t>Протягом 2018 року проліковано 21,8 тис. хворих, в тому числі жителів району 5,9 тис. чоловік, іногородніх – 4,2 тис. чол.</w:t>
      </w:r>
    </w:p>
    <w:p>
      <w:pPr>
        <w:pStyle w:val="FR21"/>
        <w:spacing w:before="0" w:after="0"/>
        <w:ind w:left="-540" w:firstLine="720"/>
        <w:jc w:val="both"/>
        <w:rPr>
          <w:rFonts w:ascii="Times New Roman" w:hAnsi="Times New Roman" w:cs="Times New Roman"/>
          <w:sz w:val="28"/>
          <w:szCs w:val="28"/>
        </w:rPr>
      </w:pPr>
      <w:r>
        <w:rPr>
          <w:rFonts w:cs="Times New Roman" w:ascii="Times New Roman" w:hAnsi="Times New Roman"/>
          <w:sz w:val="28"/>
          <w:szCs w:val="28"/>
          <w:shd w:fill="FFFFFF" w:val="clear"/>
        </w:rPr>
        <w:t>В лікувальних закладах Ковельського МТМО витрати на один ліжко-день</w:t>
      </w:r>
      <w:r>
        <w:rPr>
          <w:rFonts w:cs="Times New Roman" w:ascii="Times New Roman" w:hAnsi="Times New Roman"/>
          <w:sz w:val="28"/>
          <w:szCs w:val="28"/>
        </w:rPr>
        <w:t xml:space="preserve"> по харчуванню у звітному періоді становили 7,53 грн. та по </w:t>
      </w:r>
      <w:r>
        <w:rPr>
          <w:rFonts w:cs="Times New Roman" w:ascii="Times New Roman" w:hAnsi="Times New Roman"/>
          <w:sz w:val="28"/>
          <w:szCs w:val="28"/>
          <w:lang w:val="ru-RU"/>
        </w:rPr>
        <w:t>медикаментах 13,95 грн. (разом з залученими коштами ці цифри відповідно 8,71</w:t>
      </w:r>
      <w:r>
        <w:rPr>
          <w:rFonts w:cs="Times New Roman" w:ascii="Times New Roman" w:hAnsi="Times New Roman"/>
          <w:sz w:val="28"/>
          <w:szCs w:val="28"/>
        </w:rPr>
        <w:t xml:space="preserve"> грн. та 34,51 грн.). Вартість одного лікарського відвідування по лікувальних закладах міста та району без пільгових медикаментів становить 0,31 грн., з пільговими – 15,44 грн., разом з залученими коштами 2,32 грн. (з пільговими – 17,46 грн.)</w:t>
      </w:r>
    </w:p>
    <w:p>
      <w:pPr>
        <w:pStyle w:val="Normal"/>
        <w:ind w:left="-567" w:firstLine="709"/>
        <w:jc w:val="both"/>
        <w:rPr>
          <w:sz w:val="28"/>
          <w:lang w:eastAsia="ja-JP"/>
        </w:rPr>
      </w:pPr>
      <w:r>
        <w:rPr>
          <w:sz w:val="28"/>
          <w:lang w:val="uk-UA" w:eastAsia="ja-JP"/>
        </w:rPr>
        <w:t xml:space="preserve">Велику </w:t>
      </w:r>
      <w:r>
        <w:rPr>
          <w:sz w:val="28"/>
          <w:lang w:eastAsia="ja-JP"/>
        </w:rPr>
        <w:t xml:space="preserve"> питому вагу в загальному фонді міського бюджету становлять видатки на </w:t>
      </w:r>
      <w:r>
        <w:rPr>
          <w:b/>
          <w:sz w:val="28"/>
          <w:lang w:eastAsia="ja-JP"/>
        </w:rPr>
        <w:t>соціальний захист і соціальне забезпечення</w:t>
      </w:r>
      <w:r>
        <w:rPr>
          <w:sz w:val="28"/>
          <w:lang w:eastAsia="ja-JP"/>
        </w:rPr>
        <w:t xml:space="preserve"> – </w:t>
      </w:r>
      <w:r>
        <w:rPr>
          <w:sz w:val="28"/>
          <w:lang w:val="uk-UA" w:eastAsia="ja-JP"/>
        </w:rPr>
        <w:t xml:space="preserve">27,4 </w:t>
      </w:r>
      <w:r>
        <w:rPr>
          <w:sz w:val="28"/>
          <w:lang w:eastAsia="ja-JP"/>
        </w:rPr>
        <w:t>%.  Виконання становить   9</w:t>
      </w:r>
      <w:r>
        <w:rPr>
          <w:sz w:val="28"/>
          <w:lang w:val="uk-UA" w:eastAsia="ja-JP"/>
        </w:rPr>
        <w:t>3,2</w:t>
      </w:r>
      <w:r>
        <w:rPr>
          <w:sz w:val="28"/>
          <w:lang w:eastAsia="ja-JP"/>
        </w:rPr>
        <w:t xml:space="preserve"> % до річного уточненого призначення, в сумі це </w:t>
      </w:r>
      <w:r>
        <w:rPr>
          <w:sz w:val="28"/>
          <w:lang w:val="uk-UA" w:eastAsia="ja-JP"/>
        </w:rPr>
        <w:t>183925,4</w:t>
      </w:r>
      <w:r>
        <w:rPr>
          <w:sz w:val="28"/>
          <w:lang w:eastAsia="ja-JP"/>
        </w:rPr>
        <w:t xml:space="preserve"> тис.грн.</w:t>
      </w:r>
    </w:p>
    <w:p>
      <w:pPr>
        <w:pStyle w:val="Normal"/>
        <w:ind w:left="-540" w:firstLine="700"/>
        <w:jc w:val="both"/>
        <w:rPr>
          <w:sz w:val="28"/>
          <w:szCs w:val="28"/>
          <w:lang w:val="uk-UA"/>
        </w:rPr>
      </w:pPr>
      <w:r>
        <w:rPr>
          <w:sz w:val="28"/>
          <w:lang w:eastAsia="ja-JP"/>
        </w:rPr>
        <w:t>У 201</w:t>
      </w:r>
      <w:r>
        <w:rPr>
          <w:sz w:val="28"/>
          <w:lang w:val="uk-UA" w:eastAsia="ja-JP"/>
        </w:rPr>
        <w:t>9</w:t>
      </w:r>
      <w:r>
        <w:rPr>
          <w:sz w:val="28"/>
          <w:lang w:eastAsia="ja-JP"/>
        </w:rPr>
        <w:t xml:space="preserve"> році профінансовано пільг і субсидій на загальну суму </w:t>
      </w:r>
      <w:r>
        <w:rPr>
          <w:sz w:val="28"/>
          <w:lang w:val="uk-UA" w:eastAsia="ja-JP"/>
        </w:rPr>
        <w:t>50417,3</w:t>
      </w:r>
      <w:r>
        <w:rPr>
          <w:sz w:val="28"/>
          <w:lang w:eastAsia="ja-JP"/>
        </w:rPr>
        <w:t xml:space="preserve"> тис.грн., в тому числі пільги по оплаті за житлово-комунальні послуги на суму </w:t>
      </w:r>
      <w:r>
        <w:rPr>
          <w:sz w:val="28"/>
          <w:lang w:val="uk-UA" w:eastAsia="ja-JP"/>
        </w:rPr>
        <w:t>18354,8</w:t>
      </w:r>
      <w:r>
        <w:rPr>
          <w:sz w:val="28"/>
          <w:lang w:eastAsia="ja-JP"/>
        </w:rPr>
        <w:t xml:space="preserve"> тис.грн., на надання субсидій населенню перераховано коштів в сумі </w:t>
      </w:r>
      <w:r>
        <w:rPr>
          <w:sz w:val="28"/>
          <w:lang w:val="uk-UA" w:eastAsia="ja-JP"/>
        </w:rPr>
        <w:t>175809,6</w:t>
      </w:r>
      <w:r>
        <w:rPr>
          <w:sz w:val="28"/>
          <w:lang w:eastAsia="ja-JP"/>
        </w:rPr>
        <w:t xml:space="preserve"> тис.грн.</w:t>
      </w:r>
      <w:r>
        <w:rPr>
          <w:sz w:val="28"/>
          <w:szCs w:val="28"/>
        </w:rPr>
        <w:t>Протягом 201</w:t>
      </w:r>
      <w:r>
        <w:rPr>
          <w:sz w:val="28"/>
          <w:szCs w:val="28"/>
          <w:lang w:val="uk-UA"/>
        </w:rPr>
        <w:t>9</w:t>
      </w:r>
      <w:r>
        <w:rPr>
          <w:sz w:val="28"/>
          <w:szCs w:val="28"/>
        </w:rPr>
        <w:t xml:space="preserve"> року за призначенням всіх видів допомог та житлових субсидій до управління звернулось </w:t>
      </w:r>
      <w:r>
        <w:rPr>
          <w:sz w:val="28"/>
          <w:szCs w:val="28"/>
          <w:lang w:val="uk-UA"/>
        </w:rPr>
        <w:t>9593</w:t>
      </w:r>
      <w:r>
        <w:rPr>
          <w:sz w:val="28"/>
          <w:szCs w:val="28"/>
        </w:rPr>
        <w:t> сімей. Всього на обліку в управлінні праці та соціального захисту населення станом на 01.01.20</w:t>
      </w:r>
      <w:r>
        <w:rPr>
          <w:sz w:val="28"/>
          <w:szCs w:val="28"/>
          <w:lang w:val="uk-UA"/>
        </w:rPr>
        <w:t xml:space="preserve">20 </w:t>
      </w:r>
      <w:r>
        <w:rPr>
          <w:sz w:val="28"/>
          <w:szCs w:val="28"/>
        </w:rPr>
        <w:t xml:space="preserve">року перебуває </w:t>
      </w:r>
      <w:r>
        <w:rPr>
          <w:sz w:val="28"/>
          <w:szCs w:val="28"/>
          <w:lang w:val="uk-UA"/>
        </w:rPr>
        <w:t>5564 сім’Ї, які отримують різні види соціальних допомог для відшкодування витрат на оплату житлово-комунальних послуг. Згідно постанови Кабінету Міністрів України від 27.12.2018 року № 1176 «Про надання житлових субсидій у грошовій формі» з 01.01.2019 року запроваджено монетизацію пільг та субсидій на оплату житлово-комунальних послуг.</w:t>
      </w:r>
    </w:p>
    <w:p>
      <w:pPr>
        <w:pStyle w:val="Normal"/>
        <w:ind w:left="-567" w:firstLine="709"/>
        <w:jc w:val="both"/>
        <w:rPr>
          <w:sz w:val="28"/>
          <w:lang w:eastAsia="ja-JP"/>
        </w:rPr>
      </w:pPr>
      <w:r>
        <w:rPr/>
        <w:object>
          <v:shape id="ole_rId17" style="width:467.4pt;height:285.6pt" o:ole="">
            <v:imagedata r:id="rId18" o:title=""/>
          </v:shape>
          <o:OLEObject Type="Embed" ProgID="Excel.Chart.8" ShapeID="ole_rId17" DrawAspect="Content" ObjectID="_1207435928" r:id="rId17"/>
        </w:object>
      </w:r>
    </w:p>
    <w:p>
      <w:pPr>
        <w:pStyle w:val="Normal"/>
        <w:ind w:left="-540" w:firstLine="700"/>
        <w:jc w:val="both"/>
        <w:rPr>
          <w:sz w:val="28"/>
          <w:lang w:val="uk-UA" w:eastAsia="ja-JP"/>
        </w:rPr>
      </w:pPr>
      <w:r>
        <w:rPr>
          <w:sz w:val="28"/>
          <w:lang w:eastAsia="ja-JP"/>
        </w:rPr>
        <w:t>Протягом звітного періоду призначено субсидій населенню</w:t>
      </w:r>
      <w:r>
        <w:rPr>
          <w:sz w:val="28"/>
          <w:szCs w:val="28"/>
          <w:lang w:val="uk-UA"/>
        </w:rPr>
        <w:t xml:space="preserve"> для відшкодування витрат на оплату житлово-комунальних послуг</w:t>
      </w:r>
      <w:r>
        <w:rPr>
          <w:sz w:val="28"/>
          <w:lang w:eastAsia="ja-JP"/>
        </w:rPr>
        <w:t xml:space="preserve"> на загальну суму </w:t>
      </w:r>
      <w:r>
        <w:rPr>
          <w:sz w:val="28"/>
          <w:lang w:val="uk-UA" w:eastAsia="ja-JP"/>
        </w:rPr>
        <w:t>16144,3</w:t>
      </w:r>
      <w:r>
        <w:rPr>
          <w:sz w:val="28"/>
          <w:lang w:eastAsia="ja-JP"/>
        </w:rPr>
        <w:t xml:space="preserve"> тис.грн. Кількість сімей, яким з початку року призначено субсидій на 1.01.20</w:t>
      </w:r>
      <w:r>
        <w:rPr>
          <w:sz w:val="28"/>
          <w:lang w:val="uk-UA" w:eastAsia="ja-JP"/>
        </w:rPr>
        <w:t>20</w:t>
      </w:r>
      <w:r>
        <w:rPr>
          <w:sz w:val="28"/>
          <w:lang w:eastAsia="ja-JP"/>
        </w:rPr>
        <w:t xml:space="preserve"> року становила </w:t>
      </w:r>
      <w:r>
        <w:rPr>
          <w:sz w:val="28"/>
          <w:lang w:val="uk-UA" w:eastAsia="ja-JP"/>
        </w:rPr>
        <w:t>1332 сімей.</w:t>
      </w:r>
    </w:p>
    <w:p>
      <w:pPr>
        <w:pStyle w:val="Normal"/>
        <w:ind w:left="-540" w:firstLine="700"/>
        <w:jc w:val="both"/>
        <w:rPr>
          <w:sz w:val="28"/>
          <w:lang w:val="uk-UA" w:eastAsia="ja-JP"/>
        </w:rPr>
      </w:pPr>
      <w:r>
        <w:rPr>
          <w:sz w:val="28"/>
          <w:lang w:eastAsia="ja-JP"/>
        </w:rPr>
        <w:t>За 201</w:t>
      </w:r>
      <w:r>
        <w:rPr>
          <w:sz w:val="28"/>
          <w:lang w:val="uk-UA" w:eastAsia="ja-JP"/>
        </w:rPr>
        <w:t>9</w:t>
      </w:r>
      <w:r>
        <w:rPr>
          <w:sz w:val="28"/>
          <w:lang w:eastAsia="ja-JP"/>
        </w:rPr>
        <w:t xml:space="preserve"> рік призначено пільг</w:t>
      </w:r>
      <w:r>
        <w:rPr>
          <w:sz w:val="28"/>
          <w:szCs w:val="28"/>
          <w:lang w:val="uk-UA"/>
        </w:rPr>
        <w:t xml:space="preserve"> на оплату житлово-комунальних послуг</w:t>
      </w:r>
      <w:r>
        <w:rPr>
          <w:sz w:val="28"/>
          <w:lang w:val="uk-UA" w:eastAsia="ja-JP"/>
        </w:rPr>
        <w:t>окремим категоріям громадян відповідно до законодавства 15948,5 тис.грн.</w:t>
      </w:r>
    </w:p>
    <w:p>
      <w:pPr>
        <w:pStyle w:val="Normal"/>
        <w:ind w:left="-567" w:firstLine="709"/>
        <w:jc w:val="both"/>
        <w:rPr>
          <w:sz w:val="28"/>
          <w:lang w:val="uk-UA" w:eastAsia="ja-JP"/>
        </w:rPr>
      </w:pPr>
      <w:r>
        <w:rPr>
          <w:sz w:val="28"/>
          <w:lang w:val="uk-UA" w:eastAsia="ja-JP"/>
        </w:rPr>
        <w:t>На надання пільг окремим категоріям громадян з оплати послуг зв’язку та компенсаційних виплат на пільговий проїзд автомобільним та залізничним транспортом протягом 2019 року профінансовано  5057,6 тис.грн.</w:t>
      </w:r>
    </w:p>
    <w:p>
      <w:pPr>
        <w:pStyle w:val="Normal"/>
        <w:ind w:left="-567" w:firstLine="709"/>
        <w:jc w:val="both"/>
        <w:rPr>
          <w:sz w:val="28"/>
          <w:lang w:val="uk-UA" w:eastAsia="ja-JP"/>
        </w:rPr>
      </w:pPr>
      <w:r>
        <w:rPr>
          <w:sz w:val="28"/>
          <w:lang w:val="uk-UA" w:eastAsia="ja-JP"/>
        </w:rPr>
        <w:t xml:space="preserve">На надання пільг та житлових субсидій на придбання твердого палива та скрапленого газу протягом 2019 року профінансовано 220,7 тис.грн. </w:t>
      </w:r>
    </w:p>
    <w:p>
      <w:pPr>
        <w:pStyle w:val="Normal"/>
        <w:ind w:left="-567" w:firstLine="709"/>
        <w:jc w:val="both"/>
        <w:rPr>
          <w:sz w:val="28"/>
          <w:lang w:eastAsia="ja-JP"/>
        </w:rPr>
      </w:pPr>
      <w:r>
        <w:rPr>
          <w:sz w:val="28"/>
          <w:lang w:eastAsia="ja-JP"/>
        </w:rPr>
        <w:t xml:space="preserve">Витрати на державні допомоги сім’ям з дітьми становлять </w:t>
      </w:r>
      <w:r>
        <w:rPr>
          <w:sz w:val="28"/>
          <w:lang w:val="uk-UA" w:eastAsia="ja-JP"/>
        </w:rPr>
        <w:t>116921,9</w:t>
      </w:r>
      <w:r>
        <w:rPr>
          <w:sz w:val="28"/>
          <w:lang w:eastAsia="ja-JP"/>
        </w:rPr>
        <w:t xml:space="preserve"> тис грн. Заборгованість відсутня. </w:t>
      </w:r>
    </w:p>
    <w:p>
      <w:pPr>
        <w:pStyle w:val="Normal"/>
        <w:ind w:left="-567" w:firstLine="851"/>
        <w:jc w:val="both"/>
        <w:rPr>
          <w:sz w:val="28"/>
          <w:szCs w:val="28"/>
          <w:lang w:val="uk-UA"/>
        </w:rPr>
      </w:pPr>
      <w:r>
        <w:rPr>
          <w:sz w:val="28"/>
          <w:lang w:eastAsia="ja-JP"/>
        </w:rPr>
        <w:t>По К</w:t>
      </w:r>
      <w:r>
        <w:rPr>
          <w:sz w:val="28"/>
          <w:lang w:val="uk-UA" w:eastAsia="ja-JP"/>
        </w:rPr>
        <w:t>БТП</w:t>
      </w:r>
      <w:r>
        <w:rPr>
          <w:sz w:val="28"/>
          <w:lang w:eastAsia="ja-JP"/>
        </w:rPr>
        <w:t>К</w:t>
      </w:r>
      <w:r>
        <w:rPr>
          <w:sz w:val="28"/>
          <w:lang w:val="uk-UA" w:eastAsia="ja-JP"/>
        </w:rPr>
        <w:t>ВКМБ0813242</w:t>
      </w:r>
      <w:r>
        <w:rPr>
          <w:sz w:val="28"/>
          <w:lang w:eastAsia="ja-JP"/>
        </w:rPr>
        <w:t xml:space="preserve"> згідно місцевих програм і заходів здійснено видатків на суму </w:t>
      </w:r>
      <w:r>
        <w:rPr>
          <w:sz w:val="28"/>
          <w:lang w:val="uk-UA" w:eastAsia="ja-JP"/>
        </w:rPr>
        <w:t>2894,3</w:t>
      </w:r>
      <w:r>
        <w:rPr>
          <w:sz w:val="28"/>
          <w:lang w:eastAsia="ja-JP"/>
        </w:rPr>
        <w:t xml:space="preserve"> тис.грн.</w:t>
      </w:r>
      <w:r>
        <w:rPr>
          <w:sz w:val="28"/>
          <w:lang w:val="uk-UA" w:eastAsia="ja-JP"/>
        </w:rPr>
        <w:t xml:space="preserve">: </w:t>
      </w:r>
      <w:r>
        <w:rPr>
          <w:sz w:val="28"/>
          <w:szCs w:val="28"/>
          <w:lang w:val="uk-UA"/>
        </w:rPr>
        <w:t>Матеріальна допомога на лікування і підтримку тих, хто перебуває у  складних життєвих обставинах – 460,0 тис.грн.; Матеріальна допомога батькам, загиблих в Афганістані і Іраку – 4,8 тис.грн.; Матеріальна допомога   воякам  ОУН- УПА – 2,2 тис.грн.; Цільова  допомога на погашення заборгованості за спожиті комунальні послуги – 16,4 тис.грн.; Вирішення питань матеріальної підтримки виборців депутатами міської ради – 798,6 тис.грн.; Матеріальна допомога на поховання  осіб, які не досягли пенсійного віку – 146,0 тис.грн.; Матеріальна допомога батькам, вдовам, які не вийшли заміж вдруге, загиблих а зоні АТО – 31,2 тис.грн.;  Матеріальна допомога  сім</w:t>
      </w:r>
      <w:r>
        <w:rPr>
          <w:rFonts w:cs="Arial" w:ascii="Arial" w:hAnsi="Arial"/>
          <w:sz w:val="28"/>
          <w:szCs w:val="28"/>
          <w:lang w:val="uk-UA"/>
        </w:rPr>
        <w:t>'</w:t>
      </w:r>
      <w:r>
        <w:rPr>
          <w:sz w:val="28"/>
          <w:szCs w:val="28"/>
          <w:lang w:val="uk-UA"/>
        </w:rPr>
        <w:t>ям, рідні яких  мобілізовані до Збройних Сил України для участі в АТО та громадянам, які прийняті на військову службу за контрактом – 157,7 тис.грн.; Цільова матеріальна допомога  дітям хворих на муковісцидоз та хронічну ниркову недостатність – 279,0 тис.грн.;  Одноразова  матеріальна допомога жителям територіальної громади міста Ковеля, хворим на онкологічні захворювання – 771,0 тис.грн.; Цільова матеріальна допомога інваліду  на лікування жителя м.Ковеля Ріделя С.В. – 180,0 тис.грн.;Матеріальна допомога на відшкодування вартості телекомунікаційних послуг наданих пільговим категоріям населення – 15,7 тис.грн.;Одноразова матеріальна допомога матерям воїнів, загиблих в зоні АТО до Дня матері – 30,0 тис.грн.</w:t>
      </w:r>
    </w:p>
    <w:p>
      <w:pPr>
        <w:pStyle w:val="Normal"/>
        <w:ind w:left="-567" w:firstLine="709"/>
        <w:jc w:val="both"/>
        <w:rPr>
          <w:sz w:val="28"/>
          <w:lang w:eastAsia="ja-JP"/>
        </w:rPr>
      </w:pPr>
      <w:r>
        <w:rPr>
          <w:sz w:val="28"/>
          <w:lang w:eastAsia="ja-JP"/>
        </w:rPr>
        <w:t>По К</w:t>
      </w:r>
      <w:r>
        <w:rPr>
          <w:sz w:val="28"/>
          <w:lang w:val="uk-UA" w:eastAsia="ja-JP"/>
        </w:rPr>
        <w:t>БТП</w:t>
      </w:r>
      <w:r>
        <w:rPr>
          <w:sz w:val="28"/>
          <w:lang w:eastAsia="ja-JP"/>
        </w:rPr>
        <w:t>К</w:t>
      </w:r>
      <w:r>
        <w:rPr>
          <w:sz w:val="28"/>
          <w:lang w:val="uk-UA" w:eastAsia="ja-JP"/>
        </w:rPr>
        <w:t>ВКМБ0213121</w:t>
      </w:r>
      <w:r>
        <w:rPr>
          <w:sz w:val="28"/>
          <w:lang w:eastAsia="ja-JP"/>
        </w:rPr>
        <w:t xml:space="preserve"> на утримання центру соціальної служби для сім’ї, дітей та молоді витрачено </w:t>
      </w:r>
      <w:r>
        <w:rPr>
          <w:sz w:val="28"/>
          <w:lang w:val="uk-UA" w:eastAsia="ja-JP"/>
        </w:rPr>
        <w:t>406,5</w:t>
      </w:r>
      <w:r>
        <w:rPr>
          <w:sz w:val="28"/>
          <w:lang w:eastAsia="ja-JP"/>
        </w:rPr>
        <w:t xml:space="preserve"> тис.грн., на програми і заходи центром витрачено </w:t>
      </w:r>
      <w:r>
        <w:rPr>
          <w:sz w:val="28"/>
          <w:lang w:val="uk-UA" w:eastAsia="ja-JP"/>
        </w:rPr>
        <w:t>45,0</w:t>
      </w:r>
      <w:r>
        <w:rPr>
          <w:sz w:val="28"/>
          <w:lang w:eastAsia="ja-JP"/>
        </w:rPr>
        <w:t xml:space="preserve"> тис.грн.</w:t>
      </w:r>
    </w:p>
    <w:p>
      <w:pPr>
        <w:pStyle w:val="Normal"/>
        <w:ind w:left="-567" w:firstLine="709"/>
        <w:jc w:val="both"/>
        <w:rPr>
          <w:sz w:val="28"/>
          <w:lang w:eastAsia="ja-JP"/>
        </w:rPr>
      </w:pPr>
      <w:r>
        <w:rPr>
          <w:sz w:val="28"/>
          <w:lang w:eastAsia="ja-JP"/>
        </w:rPr>
        <w:t>По К</w:t>
      </w:r>
      <w:r>
        <w:rPr>
          <w:sz w:val="28"/>
          <w:lang w:val="uk-UA" w:eastAsia="ja-JP"/>
        </w:rPr>
        <w:t>БТП</w:t>
      </w:r>
      <w:r>
        <w:rPr>
          <w:sz w:val="28"/>
          <w:lang w:eastAsia="ja-JP"/>
        </w:rPr>
        <w:t>К</w:t>
      </w:r>
      <w:r>
        <w:rPr>
          <w:sz w:val="28"/>
          <w:lang w:val="uk-UA" w:eastAsia="ja-JP"/>
        </w:rPr>
        <w:t>ВКМБ0213140</w:t>
      </w:r>
      <w:r>
        <w:rPr>
          <w:sz w:val="28"/>
          <w:lang w:eastAsia="ja-JP"/>
        </w:rPr>
        <w:t xml:space="preserve"> «Заходи з оздоровлення та відпочинку дітей, крім заходів з оздоровлення дітей, що здійснюються за рахунок коштів на оздоровлення громадян, які постраждали внаслідок Чорнобильської катастрофи» здійснено видатків на </w:t>
      </w:r>
      <w:r>
        <w:rPr>
          <w:sz w:val="28"/>
          <w:lang w:val="uk-UA" w:eastAsia="ja-JP"/>
        </w:rPr>
        <w:t>298,2</w:t>
      </w:r>
      <w:r>
        <w:rPr>
          <w:sz w:val="28"/>
          <w:lang w:eastAsia="ja-JP"/>
        </w:rPr>
        <w:t xml:space="preserve"> тис.грн.</w:t>
      </w:r>
    </w:p>
    <w:p>
      <w:pPr>
        <w:pStyle w:val="Normal"/>
        <w:ind w:left="-540" w:firstLine="720"/>
        <w:jc w:val="both"/>
        <w:rPr>
          <w:bCs/>
          <w:sz w:val="28"/>
          <w:szCs w:val="28"/>
          <w:lang w:val="uk-UA"/>
        </w:rPr>
      </w:pPr>
      <w:r>
        <w:rPr>
          <w:sz w:val="28"/>
          <w:lang w:eastAsia="ja-JP"/>
        </w:rPr>
        <w:t>На утримання центру соціальної реабілітації дітей –інвалідів (К</w:t>
      </w:r>
      <w:r>
        <w:rPr>
          <w:sz w:val="28"/>
          <w:lang w:val="uk-UA" w:eastAsia="ja-JP"/>
        </w:rPr>
        <w:t>БТП</w:t>
      </w:r>
      <w:r>
        <w:rPr>
          <w:sz w:val="28"/>
          <w:lang w:eastAsia="ja-JP"/>
        </w:rPr>
        <w:t>К</w:t>
      </w:r>
      <w:r>
        <w:rPr>
          <w:sz w:val="28"/>
          <w:lang w:val="uk-UA" w:eastAsia="ja-JP"/>
        </w:rPr>
        <w:t>ВКМБ0813105</w:t>
      </w:r>
      <w:r>
        <w:rPr>
          <w:sz w:val="28"/>
          <w:lang w:eastAsia="ja-JP"/>
        </w:rPr>
        <w:t>) в</w:t>
      </w:r>
      <w:r>
        <w:rPr>
          <w:sz w:val="28"/>
          <w:lang w:val="uk-UA" w:eastAsia="ja-JP"/>
        </w:rPr>
        <w:t>и</w:t>
      </w:r>
      <w:r>
        <w:rPr>
          <w:sz w:val="28"/>
          <w:lang w:eastAsia="ja-JP"/>
        </w:rPr>
        <w:t xml:space="preserve">трачено </w:t>
      </w:r>
      <w:r>
        <w:rPr>
          <w:sz w:val="28"/>
          <w:lang w:val="uk-UA" w:eastAsia="ja-JP"/>
        </w:rPr>
        <w:t>991,0</w:t>
      </w:r>
      <w:r>
        <w:rPr>
          <w:sz w:val="28"/>
          <w:lang w:eastAsia="ja-JP"/>
        </w:rPr>
        <w:t xml:space="preserve"> тис.грн.</w:t>
      </w:r>
      <w:r>
        <w:rPr>
          <w:bCs/>
          <w:sz w:val="28"/>
          <w:szCs w:val="28"/>
          <w:lang w:val="uk-UA"/>
        </w:rPr>
        <w:t xml:space="preserve"> В центрі соціальної реабілітації дітей-інвалідів м. Ковеля станом на 01.01.2020 року обслуговується 19 дітей. Центром здійснюються заходи, спрямовані на розвиток та коригування порушень розвитку дитини-інваліда, навчання її основних соціальних та побутових навичок, розвитку здібностей, створення передумов для інтеграції в суспільство.</w:t>
      </w:r>
    </w:p>
    <w:p>
      <w:pPr>
        <w:pStyle w:val="Normal"/>
        <w:ind w:left="-540" w:firstLine="720"/>
        <w:jc w:val="both"/>
        <w:rPr>
          <w:bCs/>
          <w:sz w:val="28"/>
          <w:szCs w:val="28"/>
          <w:highlight w:val="yellow"/>
          <w:lang w:val="uk-UA"/>
        </w:rPr>
      </w:pPr>
      <w:r>
        <w:rPr>
          <w:bCs/>
          <w:sz w:val="28"/>
          <w:szCs w:val="28"/>
          <w:lang w:val="uk-UA"/>
        </w:rPr>
        <w:t>На заходи державної політики з питань дітей та їх соціального захисту (</w:t>
      </w:r>
      <w:r>
        <w:rPr>
          <w:sz w:val="28"/>
          <w:lang w:eastAsia="ja-JP"/>
        </w:rPr>
        <w:t>К</w:t>
      </w:r>
      <w:r>
        <w:rPr>
          <w:sz w:val="28"/>
          <w:lang w:val="uk-UA" w:eastAsia="ja-JP"/>
        </w:rPr>
        <w:t>БТП</w:t>
      </w:r>
      <w:r>
        <w:rPr>
          <w:sz w:val="28"/>
          <w:lang w:eastAsia="ja-JP"/>
        </w:rPr>
        <w:t>К</w:t>
      </w:r>
      <w:r>
        <w:rPr>
          <w:sz w:val="28"/>
          <w:lang w:val="uk-UA" w:eastAsia="ja-JP"/>
        </w:rPr>
        <w:t>ВКМБ 0813112) витрачено 55,0 тис.грн.</w:t>
      </w:r>
    </w:p>
    <w:p>
      <w:pPr>
        <w:pStyle w:val="Normal"/>
        <w:ind w:left="-567" w:firstLine="709"/>
        <w:jc w:val="both"/>
        <w:rPr>
          <w:bCs/>
          <w:sz w:val="28"/>
          <w:szCs w:val="28"/>
          <w:lang w:val="uk-UA"/>
        </w:rPr>
      </w:pPr>
      <w:r>
        <w:rPr>
          <w:sz w:val="28"/>
          <w:lang w:eastAsia="ja-JP"/>
        </w:rPr>
        <w:t>По К</w:t>
      </w:r>
      <w:r>
        <w:rPr>
          <w:sz w:val="28"/>
          <w:lang w:val="uk-UA" w:eastAsia="ja-JP"/>
        </w:rPr>
        <w:t>БТП</w:t>
      </w:r>
      <w:r>
        <w:rPr>
          <w:sz w:val="28"/>
          <w:lang w:eastAsia="ja-JP"/>
        </w:rPr>
        <w:t>К</w:t>
      </w:r>
      <w:r>
        <w:rPr>
          <w:sz w:val="28"/>
          <w:lang w:val="uk-UA" w:eastAsia="ja-JP"/>
        </w:rPr>
        <w:t>ВКМБ 0813160</w:t>
      </w:r>
      <w:r>
        <w:rPr>
          <w:sz w:val="28"/>
          <w:lang w:eastAsia="ja-JP"/>
        </w:rPr>
        <w:t xml:space="preserve"> видатки на компенсацію фізичним особам, які надають соціальні послуги склали </w:t>
      </w:r>
      <w:r>
        <w:rPr>
          <w:sz w:val="28"/>
          <w:lang w:val="uk-UA" w:eastAsia="ja-JP"/>
        </w:rPr>
        <w:t>84,7</w:t>
      </w:r>
      <w:r>
        <w:rPr>
          <w:sz w:val="28"/>
          <w:lang w:eastAsia="ja-JP"/>
        </w:rPr>
        <w:t xml:space="preserve"> тис.грн.</w:t>
      </w:r>
      <w:r>
        <w:rPr>
          <w:bCs/>
          <w:sz w:val="28"/>
          <w:szCs w:val="28"/>
          <w:lang w:val="uk-UA"/>
        </w:rPr>
        <w:t>Виплачується компенсація 26 особам за надання соціальних послуг.</w:t>
      </w:r>
    </w:p>
    <w:p>
      <w:pPr>
        <w:pStyle w:val="Normal"/>
        <w:ind w:left="-567" w:firstLine="709"/>
        <w:jc w:val="both"/>
        <w:rPr>
          <w:sz w:val="28"/>
          <w:lang w:eastAsia="ja-JP"/>
        </w:rPr>
      </w:pPr>
      <w:r>
        <w:rPr>
          <w:sz w:val="28"/>
          <w:lang w:eastAsia="ja-JP"/>
        </w:rPr>
        <w:t>По К</w:t>
      </w:r>
      <w:r>
        <w:rPr>
          <w:sz w:val="28"/>
          <w:lang w:val="uk-UA" w:eastAsia="ja-JP"/>
        </w:rPr>
        <w:t>БТП</w:t>
      </w:r>
      <w:r>
        <w:rPr>
          <w:sz w:val="28"/>
          <w:lang w:eastAsia="ja-JP"/>
        </w:rPr>
        <w:t>К</w:t>
      </w:r>
      <w:r>
        <w:rPr>
          <w:sz w:val="28"/>
          <w:lang w:val="uk-UA" w:eastAsia="ja-JP"/>
        </w:rPr>
        <w:t>ВКМБ 0813180</w:t>
      </w:r>
      <w:r>
        <w:rPr>
          <w:sz w:val="28"/>
          <w:lang w:eastAsia="ja-JP"/>
        </w:rPr>
        <w:t xml:space="preserve"> “Пільги, що надаються населенню (крім ветеранів війни та праці, військової служби, органів внутрішніх справ) для інвалідів по зору</w:t>
      </w:r>
      <w:r>
        <w:rPr>
          <w:sz w:val="28"/>
          <w:lang w:val="uk-UA" w:eastAsia="ja-JP"/>
        </w:rPr>
        <w:t>, для учасників АТО та членам їх сімей за комунальні послуги</w:t>
      </w:r>
      <w:r>
        <w:rPr>
          <w:sz w:val="28"/>
          <w:lang w:eastAsia="ja-JP"/>
        </w:rPr>
        <w:t xml:space="preserve"> здійснено видатків на суму  </w:t>
      </w:r>
      <w:r>
        <w:rPr>
          <w:sz w:val="28"/>
          <w:lang w:val="uk-UA" w:eastAsia="ja-JP"/>
        </w:rPr>
        <w:t>124,8</w:t>
      </w:r>
      <w:r>
        <w:rPr>
          <w:sz w:val="28"/>
          <w:lang w:eastAsia="ja-JP"/>
        </w:rPr>
        <w:t xml:space="preserve"> тис.грн.</w:t>
      </w:r>
    </w:p>
    <w:p>
      <w:pPr>
        <w:pStyle w:val="Normal"/>
        <w:ind w:left="-567" w:firstLine="709"/>
        <w:jc w:val="both"/>
        <w:rPr>
          <w:sz w:val="28"/>
          <w:lang w:val="uk-UA" w:eastAsia="ja-JP"/>
        </w:rPr>
      </w:pPr>
      <w:r>
        <w:rPr>
          <w:sz w:val="28"/>
          <w:lang w:eastAsia="ja-JP"/>
        </w:rPr>
        <w:t>По К</w:t>
      </w:r>
      <w:r>
        <w:rPr>
          <w:sz w:val="28"/>
          <w:lang w:val="uk-UA" w:eastAsia="ja-JP"/>
        </w:rPr>
        <w:t>БТП</w:t>
      </w:r>
      <w:r>
        <w:rPr>
          <w:sz w:val="28"/>
          <w:lang w:eastAsia="ja-JP"/>
        </w:rPr>
        <w:t>К</w:t>
      </w:r>
      <w:r>
        <w:rPr>
          <w:sz w:val="28"/>
          <w:lang w:val="uk-UA" w:eastAsia="ja-JP"/>
        </w:rPr>
        <w:t>ВКМБ0813190</w:t>
      </w:r>
      <w:r>
        <w:rPr>
          <w:sz w:val="28"/>
          <w:lang w:eastAsia="ja-JP"/>
        </w:rPr>
        <w:t xml:space="preserve"> “Фінансова підтримка громадських організацій інвалідів і ветеранів”  здійснено видатків на суму </w:t>
      </w:r>
      <w:r>
        <w:rPr>
          <w:sz w:val="28"/>
          <w:lang w:val="uk-UA" w:eastAsia="ja-JP"/>
        </w:rPr>
        <w:t>296,4</w:t>
      </w:r>
      <w:r>
        <w:rPr>
          <w:sz w:val="28"/>
          <w:lang w:eastAsia="ja-JP"/>
        </w:rPr>
        <w:t xml:space="preserve"> тис.грн.</w:t>
      </w:r>
    </w:p>
    <w:p>
      <w:pPr>
        <w:pStyle w:val="Normal"/>
        <w:ind w:left="-567" w:firstLine="709"/>
        <w:jc w:val="both"/>
        <w:rPr>
          <w:sz w:val="28"/>
          <w:lang w:val="uk-UA" w:eastAsia="ja-JP"/>
        </w:rPr>
      </w:pPr>
      <w:r>
        <w:rPr>
          <w:sz w:val="28"/>
          <w:lang w:val="uk-UA" w:eastAsia="ja-JP"/>
        </w:rPr>
        <w:t>Всього по міській програмі соціального захисту окремих категорій мешканців міста Ковеля на 2019 рік здійснено видатків на суму 8458,3 тис.грн.. 25253 особи отримали грошові виплати у вигляді компенсацій, відшкодування витрат, допомог, пільг та у вигляді фінансової підтримки отримали 7 громадських та благодійних організацій.</w:t>
      </w:r>
    </w:p>
    <w:p>
      <w:pPr>
        <w:pStyle w:val="Normal"/>
        <w:ind w:left="-567" w:firstLine="709"/>
        <w:jc w:val="both"/>
        <w:rPr>
          <w:sz w:val="28"/>
          <w:lang w:val="uk-UA" w:eastAsia="ja-JP"/>
        </w:rPr>
      </w:pPr>
      <w:r>
        <w:rPr>
          <w:sz w:val="28"/>
          <w:lang w:val="uk-UA" w:eastAsia="ja-JP"/>
        </w:rPr>
        <w:t xml:space="preserve">На утримання територіального центру і відділення соціальної допомоги на дому (КБТПКВКМБ 0813104) витрачено 5451,9 тис.грн. Станом на 1 січня 2020 р. в установі налічується 63 штатних посад, чисельність обслуговуваного населення становить 1101 чоловік, в тому числі у стаціонарному відділенні для одиноких 21 чоловіка та у відділенні соціальної допомоги на дому – 400 чоловік. </w:t>
      </w:r>
    </w:p>
    <w:p>
      <w:pPr>
        <w:pStyle w:val="Normal"/>
        <w:ind w:left="-567" w:firstLine="709"/>
        <w:jc w:val="both"/>
        <w:rPr>
          <w:sz w:val="28"/>
          <w:highlight w:val="yellow"/>
          <w:lang w:val="uk-UA" w:eastAsia="ja-JP"/>
        </w:rPr>
      </w:pPr>
      <w:r>
        <w:rPr>
          <w:sz w:val="28"/>
          <w:highlight w:val="yellow"/>
          <w:lang w:val="uk-UA" w:eastAsia="ja-JP"/>
        </w:rPr>
      </w:r>
    </w:p>
    <w:p>
      <w:pPr>
        <w:pStyle w:val="Style19"/>
        <w:ind w:left="-540" w:firstLine="1248"/>
        <w:jc w:val="center"/>
        <w:rPr>
          <w:b/>
          <w:b/>
          <w:sz w:val="28"/>
          <w:szCs w:val="28"/>
          <w:lang w:val="uk-UA"/>
        </w:rPr>
      </w:pPr>
      <w:r>
        <w:rPr>
          <w:b/>
          <w:sz w:val="28"/>
          <w:szCs w:val="28"/>
        </w:rPr>
        <w:t>Житлово-комунальне господарство</w:t>
      </w:r>
    </w:p>
    <w:p>
      <w:pPr>
        <w:pStyle w:val="Style19"/>
        <w:ind w:left="-567" w:firstLine="850"/>
        <w:jc w:val="both"/>
        <w:rPr>
          <w:sz w:val="28"/>
          <w:szCs w:val="28"/>
        </w:rPr>
      </w:pPr>
      <w:r>
        <w:rPr>
          <w:sz w:val="28"/>
          <w:szCs w:val="28"/>
        </w:rPr>
        <w:t>На утримання житлово-комунального господарства протягом 2019 року проводилися такі видатки:</w:t>
      </w:r>
    </w:p>
    <w:p>
      <w:pPr>
        <w:pStyle w:val="Normal"/>
        <w:numPr>
          <w:ilvl w:val="0"/>
          <w:numId w:val="0"/>
        </w:numPr>
        <w:ind w:left="-567" w:hanging="0"/>
        <w:jc w:val="both"/>
        <w:outlineLvl w:val="2"/>
        <w:rPr>
          <w:sz w:val="28"/>
          <w:szCs w:val="28"/>
        </w:rPr>
      </w:pPr>
      <w:r>
        <w:rPr>
          <w:sz w:val="28"/>
          <w:szCs w:val="28"/>
        </w:rPr>
        <w:t>- по ”Організація благоустрою населених пунктів ” уточненим бюджетним призначенням передбачені видатки по загальному фонду  на  2019 рік в сумі  26843,7 тис. грн.  Протягом   звітного періоду касове виконання  видатків за рахунок коштів міського бюджету  на благоустрій міста становлять  26668,7  тис.грн., або 99,4 відсотка до річного уточненого призначення</w:t>
      </w:r>
      <w:r>
        <w:rPr>
          <w:i/>
          <w:sz w:val="28"/>
          <w:szCs w:val="28"/>
        </w:rPr>
        <w:t xml:space="preserve">.  </w:t>
      </w:r>
      <w:r>
        <w:rPr>
          <w:sz w:val="28"/>
          <w:szCs w:val="28"/>
        </w:rPr>
        <w:t>За рахунок  коштів по благоустрою виконані роботи по  санітарному прибиранню та підмітанню вулиць міста – 11390,6 тис.грн.; по озелененню територій та утриманню зелених насаджень 1325,6 тис. грн; по утриманню місць загального користування – 2074,2 тис.грн.; по утриманню шляхово-мостового господарства – 879,0 тис.грн.; відшкодування витрат РЖКП №1 по вул.Незалежності,89 -104,8 тис.грн.; по водопостачанню  і водовідведенню – 483,0 тис.грн.;  по витратах на природній газ – 0,9 тис.грн.; по витратах на електричну енергію – 2909,3 тис.грн.; знесення дерев на кладовищах вул.Незалежності,  40р. Перемоги – 398,0 тис.грн. ; по  відшкодуванню витрат по орендованих приміщеннях – 172,2 тис. грн.; по Програмі поводження з безпритульними тваринами в м. Ковелі – 300,9 тис. грн.; по утриманню вуличного освітлення міста – 1094,0 тис. грн.; по Програмі збереження пам’ятників та об’єктів культурної спадщини – 204,9 тис. грн.; поточний ремонт вуличного освітлення по вул..Смірнова-182,6 тис. грн., вул. Незалежності -100,0 тис. грн.; поточний ремонт зовнішніх мереж водовідведення будинку за адресою вул. С.Бандери,18 – 24,4 тис. грн.; приєднання електроустановок до електричних мереж житлового кварталу по вул.Церковна,  Макаренка,  кн. Романа( лінія по вул. Весела)- 198,5 тис. грн. та (лінія по вул. Дружби) – 70,0 тис. грн.. та (лінія по вул. Світла ) – 186,1 тис.грн. ,приєднання зовнішніх електромереж для електропостачання 155 житлових буд. в р-ні вул.22Січня (вул.Воїнів Інтернаціоналістів)- 87,5 тис.грн.; приєднання зовнішніх електромереж для електропостачання 155 житлових буд. в р-ні вул.22Січня (вул. Пінська)- 92,7 тис.грн.; приєднання зовнішніх електромереж для електропостачання 155 житлових буд. в р-ні вул.22Січня (вул. Поштова) – 141,4 тис.грн.; приєднання зовнішніх електромереж для електропостачання 155 житлових буд. в р-ні вул.22Січня (вул. Сангушків)- 93,6 тис.грн.;приєднання зовнішніх електромереж для електропостачання 155 житлових буд. в р-ні вул.22Січня (вул. Кришталева)- 53,5 тис.грн.;утримання та поточний ремонт автобусних зупинок – 296,8 тис. грн..; розробка схеми мереж освітлення по вулицях міста - 195,0 тис. грн..; плата за видачу сертифікатів – 157,2 тис. грн.; Програма підтримки епізоотичного благополуччя, проведення лабораторно-діагностичних робіт у сфері  ветеринарної медицини – 150,9 тис. грн., вимощення території місць поховань секторів №53,54 на кладовищі по вул.Варшавській -195,0 тис.грн., поточний ремонт  мереж господарсько-фекальної каналізації по вул.1 Грудня,2 – 199,0 тис. грн., поточнийремонт  мереж господарсько-фекальної каналізації по вул.Володимирська,85 – 198,0тис.грн., поточний ремонт будівлі за адресою вул.Ст.Бандери,18- 100,7 тис. грн, поточний ремонт водопровідної мережі по вул.Сагайдачного - 35,0тис.грн., поточний ремонт вуличного освітлення – 194,9 тис. грн., поточний ремонт малих архітектурних форм по бульвару Л.Українки – 120,0тис. грн.,поточний ремонт огорожі кладовищі по вул.Незалежності – 104,4 тис. грн. та по вул.40 р. Перемоги – 190,0 тис.грн.,придбання електричного дренажного насоса для відкачування води (ЖЕК №2)-5,0 тис. грн.,придбання смітників – 43,6 тис. грн., видалення сухостійних та аварійних дерев – 74,2 тис.грн., влаштування контейнерних майданчиків  РЖКП №1190,0 тис.грн.,встановлення дорожнії знаків для регулювання дорожнього руху – 195,0 тис.грн., кронування дерев по вулицях міста- 149,5 тис.грн., ліквідація стихійних сміттєзвалищ – 190,0 тис.грн., поточний ремонт  внутрішньобудинкових мереж в підвальному приміщенні житлового будинку по вул..Володимирській,85 – 41,1 тис.грн., придбання та монтаж новорічних прикрас- 185,8 тис.грн., придбання контейнерів для збору ТПВ для РЖКП №1 – 500,0 тис.грн.,придбання протиожеледного матеріалу – 195,0 тис.грн., розробка схеми мереж водовідведення по вулицях міста -195,0 тис.грн. По спеціальному фонду на благоустрій міста проведені видатки в сумі 5,2 тис. грн. на придбання необхідного обладнання, інвентарю для притулку тварин.</w:t>
      </w:r>
    </w:p>
    <w:p>
      <w:pPr>
        <w:pStyle w:val="Normal"/>
        <w:ind w:left="-567" w:firstLine="850"/>
        <w:jc w:val="both"/>
        <w:rPr>
          <w:sz w:val="28"/>
          <w:szCs w:val="28"/>
        </w:rPr>
      </w:pPr>
      <w:r>
        <w:rPr>
          <w:sz w:val="28"/>
          <w:szCs w:val="28"/>
        </w:rPr>
        <w:t xml:space="preserve">Проводились видатки на проведення робіт, пов`язаних із утриманням та розвитком автомобільних доріг та дорожньої інфраструктури  в сумі  56137,2 тис. грн., з них за рахунок загального фонду міського бюджету   в сумі 21756,1 тис. грн. та за рахунок спеціального фонду ( бюджету розвитку)- 34381,1 тис. грн. </w:t>
      </w:r>
    </w:p>
    <w:p>
      <w:pPr>
        <w:pStyle w:val="Normal"/>
        <w:ind w:left="-567" w:firstLine="850"/>
        <w:jc w:val="both"/>
        <w:rPr>
          <w:i/>
          <w:i/>
          <w:sz w:val="28"/>
          <w:szCs w:val="28"/>
        </w:rPr>
      </w:pPr>
      <w:r>
        <w:rPr>
          <w:sz w:val="28"/>
          <w:szCs w:val="28"/>
        </w:rPr>
        <w:t>Поточні видатки  становлять  21756,1 тис. грн. використані на поточний ремонт  доріг та прибудинкових територій в сумі 20716,4 тис. грн. та послуги з прибирання снігу – 694,7 тис. грн., обстеження технічного стану шляхопроводу через залізницю по вул..Незалежності – 150,0 тис . грн., розробка схеми організації дорожнього руху по вулицях міста – 195,0 тис . грн.</w:t>
      </w:r>
    </w:p>
    <w:p>
      <w:pPr>
        <w:pStyle w:val="Normal"/>
        <w:ind w:left="-567" w:firstLine="850"/>
        <w:jc w:val="both"/>
        <w:rPr>
          <w:sz w:val="28"/>
          <w:szCs w:val="28"/>
        </w:rPr>
      </w:pPr>
      <w:r>
        <w:rPr>
          <w:sz w:val="28"/>
          <w:szCs w:val="28"/>
        </w:rPr>
        <w:t>Капітальні видатки за 2019 рік  на утримання та розвиток автомобільних доріг та дорожньої інфраструктури   становлять 34460,1 тис. грн. Протягом звітного періоду проведено реконструкцію вул. Відродження на  суму 10168,1 тис. грн., капітальний ремонт вул. Тимошенка – 5831,2 тис. грн.,капітальний ремонт прибудинкової території по вул..1-го Грудня,2-4-2117,0 тис. грн., капітальний ремонт вул. Мічуріна – 579,3 тис. грн., капітальний ремонт  вул.Мічуріна (ж.б№3-ж.б.Косачів №3)- 669,8 тис. грн.,капітальний ремонт проїжджої частини вул.Виниченка-2615,1 тис. грн., капітальний ремонт вул. 40р.Перемоги ( від перехрестя вул..Володимирська-ЗОШ№13)- 4354,0 тис. грн., капітальний ремонт проїжджої частини вул. Симоненка – 2296,4 тис. грн., капітальний ремонт дворової території по вул. Володимирська,85 та 40 р. Перемоги,17 – 4047,6 тис. грн., капітальний ремонт світлофорних об’єктів  на перехресті вул.  Театральна-Незалежності – 643,1 тис. грн.,капітальний ремонт світлофорних об'єктів на перехресті вул.Сагайдачного –Театральна -809,8 тис. грн.та на перехресті вул. Незаледності-Шевченка – 22,9 тис.грн., реконструкція вул. Фестивальної – 151,0 тис.грн.</w:t>
      </w:r>
    </w:p>
    <w:p>
      <w:pPr>
        <w:pStyle w:val="Normal"/>
        <w:ind w:left="-567" w:firstLine="850"/>
        <w:jc w:val="both"/>
        <w:rPr>
          <w:sz w:val="28"/>
          <w:szCs w:val="28"/>
        </w:rPr>
      </w:pPr>
      <w:r>
        <w:rPr>
          <w:sz w:val="28"/>
          <w:szCs w:val="28"/>
        </w:rPr>
        <w:t>Фінансування видатків по Програмі організації рятування людей на водних об’єктах міста   становлять 370,0 тис. грн.</w:t>
      </w:r>
    </w:p>
    <w:p>
      <w:pPr>
        <w:pStyle w:val="Normal"/>
        <w:ind w:left="-567" w:firstLine="850"/>
        <w:jc w:val="both"/>
        <w:rPr>
          <w:sz w:val="28"/>
          <w:szCs w:val="28"/>
        </w:rPr>
      </w:pPr>
      <w:r>
        <w:rPr>
          <w:sz w:val="28"/>
          <w:szCs w:val="28"/>
        </w:rPr>
        <w:t>Відповідно до Програми запобігання та захисту населення і територій міста від підтоплення грунтовими водами  видатки становлять 1814,7 тис. грн.</w:t>
      </w:r>
    </w:p>
    <w:p>
      <w:pPr>
        <w:pStyle w:val="Normal"/>
        <w:ind w:left="-567" w:firstLine="850"/>
        <w:jc w:val="both"/>
        <w:rPr>
          <w:sz w:val="28"/>
          <w:szCs w:val="28"/>
        </w:rPr>
      </w:pPr>
      <w:r>
        <w:rPr>
          <w:sz w:val="28"/>
          <w:szCs w:val="28"/>
        </w:rPr>
        <w:t xml:space="preserve">По Програмі організації та проведення громадських робіт тимчасового характеру видатки становлять 163,7 тис. грн.  </w:t>
      </w:r>
    </w:p>
    <w:p>
      <w:pPr>
        <w:pStyle w:val="Normal"/>
        <w:ind w:left="-567" w:firstLine="850"/>
        <w:jc w:val="both"/>
        <w:rPr>
          <w:sz w:val="28"/>
          <w:szCs w:val="28"/>
        </w:rPr>
      </w:pPr>
      <w:r>
        <w:rPr>
          <w:sz w:val="28"/>
          <w:szCs w:val="28"/>
        </w:rPr>
        <w:t xml:space="preserve">Уточненим бюджетним призначенням на 2019 рік затверджено бюджет розвитку в сумі 142346,6 тис.грн. касове виконання становить 140,1 млн. грн. </w:t>
      </w:r>
    </w:p>
    <w:p>
      <w:pPr>
        <w:pStyle w:val="Normal"/>
        <w:ind w:left="-567" w:firstLine="850"/>
        <w:jc w:val="both"/>
        <w:rPr>
          <w:sz w:val="28"/>
          <w:szCs w:val="28"/>
        </w:rPr>
      </w:pPr>
      <w:r>
        <w:rPr/>
        <w:drawing>
          <wp:inline distT="0" distB="0" distL="0" distR="0">
            <wp:extent cx="5814695" cy="3513455"/>
            <wp:effectExtent l="0" t="0" r="0" b="0"/>
            <wp:docPr id="8"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2" descr=""/>
                    <pic:cNvPicPr>
                      <a:picLocks noChangeAspect="1" noChangeArrowheads="1"/>
                    </pic:cNvPicPr>
                  </pic:nvPicPr>
                  <pic:blipFill>
                    <a:blip r:embed="rId19"/>
                    <a:stretch>
                      <a:fillRect/>
                    </a:stretch>
                  </pic:blipFill>
                  <pic:spPr bwMode="auto">
                    <a:xfrm>
                      <a:off x="0" y="0"/>
                      <a:ext cx="5814695" cy="3513455"/>
                    </a:xfrm>
                    <a:prstGeom prst="rect">
                      <a:avLst/>
                    </a:prstGeom>
                  </pic:spPr>
                </pic:pic>
              </a:graphicData>
            </a:graphic>
          </wp:inline>
        </w:drawing>
      </w:r>
    </w:p>
    <w:p>
      <w:pPr>
        <w:pStyle w:val="Normal"/>
        <w:ind w:left="-567" w:firstLine="850"/>
        <w:jc w:val="both"/>
        <w:rPr>
          <w:sz w:val="28"/>
          <w:szCs w:val="28"/>
        </w:rPr>
      </w:pPr>
      <w:r>
        <w:rPr>
          <w:sz w:val="28"/>
          <w:szCs w:val="28"/>
        </w:rPr>
        <w:t>По головному розпоряднику бюджетних коштів управлінню капітального будівництва та житлово-комунального господарствастановить 75234,4тис.грн., в т.ч. :</w:t>
      </w:r>
    </w:p>
    <w:p>
      <w:pPr>
        <w:pStyle w:val="Normal"/>
        <w:ind w:left="-567" w:firstLine="850"/>
        <w:jc w:val="both"/>
        <w:rPr>
          <w:sz w:val="28"/>
          <w:szCs w:val="28"/>
        </w:rPr>
      </w:pPr>
      <w:r>
        <w:rPr>
          <w:sz w:val="28"/>
          <w:szCs w:val="28"/>
        </w:rPr>
        <w:t>- по будівництву об’єктів житлово-комунального господарства – 28172,6 тис. грн., а саме на реконструкція котельні з встановленням твердопаливного котла потужністю 3,5 МВт по вул. Володимирська,85 – 10000,0 тис. грн.,   реконструкція водопровідної мережі від свердловини №11 до насосної станції ІІ-го підйому по вул. Геологів – 4592,0 тис. грн.,   проведено будівництво зовнішніх мереж для електропостачання 286 житлових будинків в районі вул. Полуботка – 1422,5 тис. грн., на будівництво мережі водопостачання в районі Ковель - 2  використано – 1408,1 тис. грн., на капітальний ремонт мережі водовідведення по вул. Я. Мудрого  – 1335,2 тис. грн., на реконструкцію  вуличного освітлення по вул. Івасюка, Ветеранів , Відродження, Театральна – 2007,0 тис. грн., придбання та встановлення установки для знезараження води гідрохлоридом видатки становлять – 350,0 тис. грн., перенесення теплової мережі котельні по вул. Ватутіна – 860,0 тис. грн., будівництво гаражів по вул. Кияна , 49 – 700,0 тис. грн., реконструкція котельні по вул. Незалежності - 800,0 тис. грн.  та ін. об’єкти;</w:t>
      </w:r>
    </w:p>
    <w:p>
      <w:pPr>
        <w:pStyle w:val="Normal"/>
        <w:ind w:left="-567" w:firstLine="850"/>
        <w:jc w:val="both"/>
        <w:rPr>
          <w:sz w:val="28"/>
          <w:szCs w:val="28"/>
        </w:rPr>
      </w:pPr>
      <w:r>
        <w:rPr>
          <w:sz w:val="28"/>
          <w:szCs w:val="28"/>
        </w:rPr>
        <w:t>- будівництво мереж електропостачання, водопостачання, каналізації, водовідведення транскордонного центру діалогу культур Польща-Білорусь-Україна по вул. Сагайдачного,5 – 7511,0 тис. грн.,</w:t>
      </w:r>
    </w:p>
    <w:p>
      <w:pPr>
        <w:pStyle w:val="Normal"/>
        <w:ind w:left="-567" w:firstLine="850"/>
        <w:jc w:val="both"/>
        <w:rPr>
          <w:sz w:val="28"/>
          <w:szCs w:val="28"/>
        </w:rPr>
      </w:pPr>
      <w:r>
        <w:rPr>
          <w:sz w:val="28"/>
          <w:szCs w:val="28"/>
        </w:rPr>
        <w:t>-  розроблення схем планування та забудови територій(містобудівної документації) – 1063,7 тис. грн.;</w:t>
      </w:r>
    </w:p>
    <w:p>
      <w:pPr>
        <w:pStyle w:val="Normal"/>
        <w:ind w:left="-567" w:firstLine="850"/>
        <w:jc w:val="both"/>
        <w:rPr>
          <w:sz w:val="28"/>
          <w:szCs w:val="28"/>
        </w:rPr>
      </w:pPr>
      <w:r>
        <w:rPr>
          <w:sz w:val="28"/>
          <w:szCs w:val="28"/>
        </w:rPr>
        <w:t>- впровадження засобів обліку витрат та регулювання споживання води та теплової енергії – 980,0 тис. грн.;</w:t>
      </w:r>
    </w:p>
    <w:p>
      <w:pPr>
        <w:pStyle w:val="Normal"/>
        <w:ind w:left="-567" w:firstLine="850"/>
        <w:jc w:val="both"/>
        <w:rPr>
          <w:sz w:val="28"/>
          <w:szCs w:val="28"/>
        </w:rPr>
      </w:pPr>
      <w:r>
        <w:rPr>
          <w:sz w:val="28"/>
          <w:szCs w:val="28"/>
        </w:rPr>
        <w:t>- капітальний ремонт житла дітям сиротам – 195,5 тис.грн.;</w:t>
      </w:r>
    </w:p>
    <w:p>
      <w:pPr>
        <w:pStyle w:val="Normal"/>
        <w:ind w:left="-567" w:firstLine="850"/>
        <w:jc w:val="both"/>
        <w:rPr>
          <w:sz w:val="28"/>
          <w:szCs w:val="28"/>
        </w:rPr>
      </w:pPr>
      <w:r>
        <w:rPr>
          <w:sz w:val="28"/>
          <w:szCs w:val="28"/>
        </w:rPr>
        <w:t>- придбання житла для окремих категорій населення – 304,8 тис.грн.;</w:t>
      </w:r>
    </w:p>
    <w:p>
      <w:pPr>
        <w:pStyle w:val="Normal"/>
        <w:ind w:left="-567" w:firstLine="850"/>
        <w:jc w:val="both"/>
        <w:rPr>
          <w:sz w:val="28"/>
          <w:szCs w:val="28"/>
        </w:rPr>
      </w:pPr>
      <w:r>
        <w:rPr>
          <w:sz w:val="28"/>
          <w:szCs w:val="28"/>
        </w:rPr>
        <w:t>- експлуатація та технічне обслуговування житлового фонду – 2386,3 тис. грн. з них:</w:t>
      </w:r>
    </w:p>
    <w:p>
      <w:pPr>
        <w:pStyle w:val="Normal"/>
        <w:ind w:left="-567" w:firstLine="850"/>
        <w:jc w:val="both"/>
        <w:rPr>
          <w:sz w:val="28"/>
          <w:szCs w:val="28"/>
        </w:rPr>
      </w:pPr>
      <w:r>
        <w:rPr>
          <w:sz w:val="28"/>
          <w:szCs w:val="28"/>
        </w:rPr>
        <w:t>- РЖКП №1- 300,0 тис.грн.;</w:t>
      </w:r>
    </w:p>
    <w:p>
      <w:pPr>
        <w:pStyle w:val="Normal"/>
        <w:ind w:left="-567" w:firstLine="850"/>
        <w:jc w:val="both"/>
        <w:rPr>
          <w:sz w:val="28"/>
          <w:szCs w:val="28"/>
        </w:rPr>
      </w:pPr>
      <w:r>
        <w:rPr>
          <w:sz w:val="28"/>
          <w:szCs w:val="28"/>
        </w:rPr>
        <w:t>- РЖКП №2 – 2086,3 тис.грн.</w:t>
      </w:r>
    </w:p>
    <w:p>
      <w:pPr>
        <w:pStyle w:val="Normal"/>
        <w:ind w:left="-567" w:firstLine="850"/>
        <w:jc w:val="both"/>
        <w:rPr>
          <w:sz w:val="28"/>
          <w:szCs w:val="28"/>
        </w:rPr>
      </w:pPr>
      <w:r>
        <w:rPr>
          <w:sz w:val="28"/>
          <w:szCs w:val="28"/>
        </w:rPr>
        <w:t xml:space="preserve">Проводились видатки відповідно до Програми  розвитку земельної реформи в м. Ковелі на 2019-2021 рр. по спеціальному фонду – на підготовку земельних ділянок  несільськогосподарського призначення або прав на них комунальної власності для продажу на земельних торгах та проведення таких торгів в сумі 126,9 тис. грн., та на проведення експертної грошової оцінки земельних ділянок та виготовлення землевпорядної документації – 97,1 тис. грн. </w:t>
      </w:r>
    </w:p>
    <w:p>
      <w:pPr>
        <w:pStyle w:val="Normal"/>
        <w:ind w:left="-567" w:firstLine="850"/>
        <w:jc w:val="both"/>
        <w:rPr>
          <w:sz w:val="28"/>
          <w:szCs w:val="28"/>
        </w:rPr>
      </w:pPr>
      <w:r>
        <w:rPr>
          <w:sz w:val="28"/>
          <w:szCs w:val="28"/>
        </w:rPr>
        <w:t>Фінансування видатки по Програмі охорони навколишнього природного середовища становлять 74,2 тис. грн., по Програмі з ліквідації Борщівника  - 77,0 тис. грн.</w:t>
      </w:r>
    </w:p>
    <w:p>
      <w:pPr>
        <w:pStyle w:val="Normal"/>
        <w:ind w:left="-540" w:hanging="0"/>
        <w:jc w:val="both"/>
        <w:rPr>
          <w:highlight w:val="yellow"/>
        </w:rPr>
      </w:pPr>
      <w:r>
        <w:rPr>
          <w:highlight w:val="yellow"/>
        </w:rPr>
      </w:r>
    </w:p>
    <w:p>
      <w:pPr>
        <w:pStyle w:val="Normal"/>
        <w:ind w:left="-540" w:firstLine="720"/>
        <w:jc w:val="both"/>
        <w:rPr>
          <w:sz w:val="28"/>
          <w:szCs w:val="28"/>
        </w:rPr>
      </w:pPr>
      <w:r>
        <w:rPr>
          <w:b/>
          <w:sz w:val="28"/>
          <w:lang w:eastAsia="ja-JP"/>
        </w:rPr>
        <w:t>Установи культури і мистецтва</w:t>
      </w:r>
      <w:r>
        <w:rPr>
          <w:sz w:val="28"/>
          <w:lang w:eastAsia="ja-JP"/>
        </w:rPr>
        <w:t xml:space="preserve">  профінансовані на суму </w:t>
      </w:r>
      <w:r>
        <w:rPr>
          <w:sz w:val="28"/>
          <w:lang w:val="uk-UA" w:eastAsia="ja-JP"/>
        </w:rPr>
        <w:t>5738,6</w:t>
      </w:r>
      <w:r>
        <w:rPr>
          <w:sz w:val="28"/>
          <w:lang w:eastAsia="ja-JP"/>
        </w:rPr>
        <w:t xml:space="preserve"> тис.грн. і виконання до річного бюджетного призначення становить </w:t>
      </w:r>
      <w:r>
        <w:rPr>
          <w:sz w:val="28"/>
          <w:lang w:val="uk-UA" w:eastAsia="ja-JP"/>
        </w:rPr>
        <w:t>100</w:t>
      </w:r>
      <w:r>
        <w:rPr>
          <w:sz w:val="28"/>
          <w:lang w:eastAsia="ja-JP"/>
        </w:rPr>
        <w:t xml:space="preserve"> відсотк</w:t>
      </w:r>
      <w:r>
        <w:rPr>
          <w:sz w:val="28"/>
          <w:lang w:val="uk-UA" w:eastAsia="ja-JP"/>
        </w:rPr>
        <w:t>ів</w:t>
      </w:r>
      <w:r>
        <w:rPr>
          <w:sz w:val="28"/>
          <w:lang w:eastAsia="ja-JP"/>
        </w:rPr>
        <w:t xml:space="preserve">. Питома вага видатків на заклади та заходи культури у видатках міського бюджету становить </w:t>
      </w:r>
      <w:r>
        <w:rPr>
          <w:sz w:val="28"/>
          <w:lang w:val="uk-UA" w:eastAsia="ja-JP"/>
        </w:rPr>
        <w:t>0,9</w:t>
      </w:r>
      <w:r>
        <w:rPr>
          <w:sz w:val="28"/>
          <w:lang w:eastAsia="ja-JP"/>
        </w:rPr>
        <w:t xml:space="preserve"> відсотка. </w:t>
      </w:r>
      <w:r>
        <w:rPr>
          <w:sz w:val="28"/>
          <w:lang w:val="uk-UA" w:eastAsia="ja-JP"/>
        </w:rPr>
        <w:t>О</w:t>
      </w:r>
      <w:r>
        <w:rPr>
          <w:sz w:val="28"/>
          <w:szCs w:val="28"/>
        </w:rPr>
        <w:t>сновний обсяг витрат по цій галузі здійснювався на забезпечення функціонування шкіл естетичного виховання. З 2018 року відповідно до змін в класифікації видатків бюджету, витрати на школи естетичного виховання відносяться до витрат освіти.</w:t>
      </w:r>
    </w:p>
    <w:p>
      <w:pPr>
        <w:pStyle w:val="Normal"/>
        <w:ind w:left="-540" w:firstLine="720"/>
        <w:jc w:val="both"/>
        <w:rPr>
          <w:sz w:val="28"/>
          <w:lang w:eastAsia="ja-JP"/>
        </w:rPr>
      </w:pPr>
      <w:r>
        <w:rPr>
          <w:sz w:val="28"/>
          <w:lang w:eastAsia="ja-JP"/>
        </w:rPr>
        <w:t xml:space="preserve">У видатках на культуру </w:t>
      </w:r>
      <w:r>
        <w:rPr>
          <w:sz w:val="28"/>
          <w:lang w:val="uk-UA" w:eastAsia="ja-JP"/>
        </w:rPr>
        <w:t>3222,6</w:t>
      </w:r>
      <w:r>
        <w:rPr>
          <w:sz w:val="28"/>
          <w:lang w:eastAsia="ja-JP"/>
        </w:rPr>
        <w:t xml:space="preserve"> тис.грн. використано на оплату праці з нарахуванням, </w:t>
      </w:r>
      <w:r>
        <w:rPr>
          <w:sz w:val="28"/>
          <w:lang w:val="uk-UA" w:eastAsia="ja-JP"/>
        </w:rPr>
        <w:t>605,8</w:t>
      </w:r>
      <w:r>
        <w:rPr>
          <w:sz w:val="28"/>
          <w:lang w:eastAsia="ja-JP"/>
        </w:rPr>
        <w:t xml:space="preserve"> тис.грн. на оплату енергоносіїв та комунальних послуг, </w:t>
      </w:r>
      <w:r>
        <w:rPr>
          <w:sz w:val="28"/>
          <w:lang w:val="uk-UA" w:eastAsia="ja-JP"/>
        </w:rPr>
        <w:t>6091,5</w:t>
      </w:r>
      <w:r>
        <w:rPr>
          <w:sz w:val="28"/>
          <w:lang w:eastAsia="ja-JP"/>
        </w:rPr>
        <w:t xml:space="preserve"> тис.грн. – на капітальні видатки.</w:t>
      </w:r>
    </w:p>
    <w:p>
      <w:pPr>
        <w:pStyle w:val="Normal"/>
        <w:ind w:left="-540" w:hanging="0"/>
        <w:jc w:val="both"/>
        <w:rPr>
          <w:sz w:val="28"/>
          <w:lang w:val="uk-UA" w:eastAsia="ja-JP"/>
        </w:rPr>
      </w:pPr>
      <w:r>
        <w:rPr>
          <w:sz w:val="28"/>
          <w:lang w:eastAsia="ja-JP"/>
        </w:rPr>
        <w:t xml:space="preserve">         </w:t>
      </w:r>
      <w:r>
        <w:rPr>
          <w:sz w:val="28"/>
          <w:lang w:eastAsia="ja-JP"/>
        </w:rPr>
        <w:t>Вищезгадані асигнування забезпечили нормальне функціонування народного дому “Просвіта”, Історичного музею</w:t>
      </w:r>
      <w:r>
        <w:rPr>
          <w:sz w:val="28"/>
          <w:lang w:val="uk-UA" w:eastAsia="ja-JP"/>
        </w:rPr>
        <w:t xml:space="preserve"> та фінансування культурно-мистецьких програм</w:t>
      </w:r>
      <w:r>
        <w:rPr>
          <w:sz w:val="28"/>
          <w:lang w:eastAsia="ja-JP"/>
        </w:rPr>
        <w:t>.</w:t>
      </w:r>
    </w:p>
    <w:p>
      <w:pPr>
        <w:pStyle w:val="Normal"/>
        <w:ind w:left="-540" w:hanging="0"/>
        <w:jc w:val="both"/>
        <w:rPr>
          <w:sz w:val="28"/>
          <w:szCs w:val="28"/>
          <w:lang w:val="uk-UA" w:eastAsia="ja-JP"/>
        </w:rPr>
      </w:pPr>
      <w:r>
        <w:rPr>
          <w:sz w:val="28"/>
          <w:szCs w:val="28"/>
          <w:lang w:eastAsia="ja-JP"/>
        </w:rPr>
        <w:t xml:space="preserve">         </w:t>
      </w:r>
      <w:r>
        <w:rPr>
          <w:sz w:val="28"/>
          <w:szCs w:val="28"/>
          <w:lang w:eastAsia="ja-JP"/>
        </w:rPr>
        <w:t>В школі мистецтв навчається 5</w:t>
      </w:r>
      <w:r>
        <w:rPr>
          <w:sz w:val="28"/>
          <w:szCs w:val="28"/>
          <w:lang w:val="uk-UA" w:eastAsia="ja-JP"/>
        </w:rPr>
        <w:t>54</w:t>
      </w:r>
      <w:r>
        <w:rPr>
          <w:sz w:val="28"/>
          <w:szCs w:val="28"/>
          <w:lang w:eastAsia="ja-JP"/>
        </w:rPr>
        <w:t xml:space="preserve"> дітей, в тому числі </w:t>
      </w:r>
      <w:r>
        <w:rPr>
          <w:sz w:val="28"/>
          <w:szCs w:val="28"/>
          <w:lang w:val="uk-UA" w:eastAsia="ja-JP"/>
        </w:rPr>
        <w:t>73</w:t>
      </w:r>
      <w:r>
        <w:rPr>
          <w:sz w:val="28"/>
          <w:szCs w:val="28"/>
          <w:lang w:eastAsia="ja-JP"/>
        </w:rPr>
        <w:t xml:space="preserve"> дітей Ковельського району, в художній школі навчається 1</w:t>
      </w:r>
      <w:r>
        <w:rPr>
          <w:sz w:val="28"/>
          <w:szCs w:val="28"/>
          <w:lang w:val="uk-UA" w:eastAsia="ja-JP"/>
        </w:rPr>
        <w:t>93</w:t>
      </w:r>
      <w:r>
        <w:rPr>
          <w:sz w:val="28"/>
          <w:szCs w:val="28"/>
          <w:lang w:eastAsia="ja-JP"/>
        </w:rPr>
        <w:t xml:space="preserve"> д</w:t>
      </w:r>
      <w:r>
        <w:rPr>
          <w:sz w:val="28"/>
          <w:szCs w:val="28"/>
          <w:lang w:val="uk-UA" w:eastAsia="ja-JP"/>
        </w:rPr>
        <w:t>ітей</w:t>
      </w:r>
      <w:r>
        <w:rPr>
          <w:sz w:val="28"/>
          <w:szCs w:val="28"/>
          <w:lang w:eastAsia="ja-JP"/>
        </w:rPr>
        <w:t>, в тому числі 1</w:t>
      </w:r>
      <w:r>
        <w:rPr>
          <w:sz w:val="28"/>
          <w:szCs w:val="28"/>
          <w:lang w:val="uk-UA" w:eastAsia="ja-JP"/>
        </w:rPr>
        <w:t>9</w:t>
      </w:r>
      <w:r>
        <w:rPr>
          <w:sz w:val="28"/>
          <w:szCs w:val="28"/>
          <w:lang w:eastAsia="ja-JP"/>
        </w:rPr>
        <w:t xml:space="preserve"> дітей Ковельського району. В школі мистецтв та в художній школі навчається </w:t>
      </w:r>
      <w:r>
        <w:rPr>
          <w:sz w:val="28"/>
          <w:szCs w:val="28"/>
          <w:lang w:val="uk-UA" w:eastAsia="ja-JP"/>
        </w:rPr>
        <w:t>332</w:t>
      </w:r>
      <w:r>
        <w:rPr>
          <w:sz w:val="28"/>
          <w:szCs w:val="28"/>
          <w:lang w:eastAsia="ja-JP"/>
        </w:rPr>
        <w:t xml:space="preserve"> дітей пільгової категорії, які звільнені від плати за навчання на 100 відсотків</w:t>
      </w:r>
      <w:r>
        <w:rPr>
          <w:sz w:val="28"/>
          <w:szCs w:val="28"/>
          <w:lang w:val="uk-UA" w:eastAsia="ja-JP"/>
        </w:rPr>
        <w:t xml:space="preserve">. </w:t>
      </w:r>
    </w:p>
    <w:p>
      <w:pPr>
        <w:pStyle w:val="Normal"/>
        <w:ind w:left="-540" w:hanging="0"/>
        <w:jc w:val="both"/>
        <w:rPr>
          <w:sz w:val="28"/>
          <w:szCs w:val="28"/>
          <w:lang w:val="uk-UA" w:eastAsia="ja-JP"/>
        </w:rPr>
      </w:pPr>
      <w:r>
        <w:rPr>
          <w:sz w:val="28"/>
          <w:szCs w:val="28"/>
          <w:lang w:eastAsia="ja-JP"/>
        </w:rPr>
        <w:t xml:space="preserve">         </w:t>
      </w:r>
      <w:r>
        <w:rPr>
          <w:sz w:val="28"/>
          <w:szCs w:val="28"/>
          <w:lang w:eastAsia="ja-JP"/>
        </w:rPr>
        <w:t>В закладах культури працюють 1</w:t>
      </w:r>
      <w:r>
        <w:rPr>
          <w:sz w:val="28"/>
          <w:szCs w:val="28"/>
          <w:lang w:val="uk-UA" w:eastAsia="ja-JP"/>
        </w:rPr>
        <w:t>7</w:t>
      </w:r>
      <w:r>
        <w:rPr>
          <w:sz w:val="28"/>
          <w:szCs w:val="28"/>
          <w:lang w:eastAsia="ja-JP"/>
        </w:rPr>
        <w:t xml:space="preserve"> колективів художньої самодіяльності, з них 7 колективів, які мають звання “народний” та </w:t>
      </w:r>
      <w:r>
        <w:rPr>
          <w:sz w:val="28"/>
          <w:szCs w:val="28"/>
          <w:lang w:val="uk-UA" w:eastAsia="ja-JP"/>
        </w:rPr>
        <w:t>два колективи</w:t>
      </w:r>
      <w:r>
        <w:rPr>
          <w:sz w:val="28"/>
          <w:szCs w:val="28"/>
          <w:lang w:eastAsia="ja-JP"/>
        </w:rPr>
        <w:t xml:space="preserve"> ма</w:t>
      </w:r>
      <w:r>
        <w:rPr>
          <w:sz w:val="28"/>
          <w:szCs w:val="28"/>
          <w:lang w:val="uk-UA" w:eastAsia="ja-JP"/>
        </w:rPr>
        <w:t>ють</w:t>
      </w:r>
      <w:r>
        <w:rPr>
          <w:sz w:val="28"/>
          <w:szCs w:val="28"/>
          <w:lang w:eastAsia="ja-JP"/>
        </w:rPr>
        <w:t xml:space="preserve"> звання «зразковий»</w:t>
      </w:r>
      <w:r>
        <w:rPr>
          <w:sz w:val="28"/>
          <w:szCs w:val="28"/>
          <w:lang w:val="uk-UA" w:eastAsia="ja-JP"/>
        </w:rPr>
        <w:t xml:space="preserve"> та одна студія театрального мистецтва</w:t>
      </w:r>
      <w:r>
        <w:rPr>
          <w:sz w:val="28"/>
          <w:szCs w:val="28"/>
          <w:lang w:eastAsia="ja-JP"/>
        </w:rPr>
        <w:t>.</w:t>
      </w:r>
      <w:r>
        <w:rPr>
          <w:sz w:val="28"/>
          <w:szCs w:val="28"/>
          <w:lang w:val="uk-UA" w:eastAsia="ja-JP"/>
        </w:rPr>
        <w:t xml:space="preserve"> В школі мистецтв працює студія образотворчого мистецтва та студія сольного співу. </w:t>
      </w:r>
    </w:p>
    <w:p>
      <w:pPr>
        <w:pStyle w:val="Normal"/>
        <w:tabs>
          <w:tab w:val="clear" w:pos="708"/>
          <w:tab w:val="left" w:pos="840" w:leader="none"/>
          <w:tab w:val="left" w:pos="2820" w:leader="none"/>
          <w:tab w:val="left" w:pos="8565" w:leader="none"/>
        </w:tabs>
        <w:ind w:left="-540" w:hanging="0"/>
        <w:jc w:val="both"/>
        <w:rPr>
          <w:sz w:val="28"/>
          <w:szCs w:val="28"/>
          <w:lang w:val="uk-UA"/>
        </w:rPr>
      </w:pPr>
      <w:r>
        <w:rPr>
          <w:sz w:val="28"/>
          <w:lang w:eastAsia="ja-JP"/>
        </w:rPr>
        <w:t xml:space="preserve">          </w:t>
      </w:r>
      <w:r>
        <w:rPr>
          <w:sz w:val="28"/>
          <w:lang w:eastAsia="ja-JP"/>
        </w:rPr>
        <w:t xml:space="preserve">На фінансування міської культурно-мистецької програми відділу культури та туризму виконавчого комітету міської ради використано </w:t>
      </w:r>
      <w:r>
        <w:rPr>
          <w:sz w:val="28"/>
          <w:lang w:val="uk-UA" w:eastAsia="ja-JP"/>
        </w:rPr>
        <w:t>545,1</w:t>
      </w:r>
      <w:r>
        <w:rPr>
          <w:sz w:val="28"/>
          <w:lang w:eastAsia="ja-JP"/>
        </w:rPr>
        <w:t xml:space="preserve"> тис.грн. В 201</w:t>
      </w:r>
      <w:r>
        <w:rPr>
          <w:sz w:val="28"/>
          <w:lang w:val="uk-UA" w:eastAsia="ja-JP"/>
        </w:rPr>
        <w:t>9</w:t>
      </w:r>
      <w:r>
        <w:rPr>
          <w:sz w:val="28"/>
          <w:lang w:eastAsia="ja-JP"/>
        </w:rPr>
        <w:t xml:space="preserve"> році проведено ряд загальноміських заходів культурно-мистецького напрямку, а творчі колективи  міста взяли участь в обласних конкурсах та фестивалях.</w:t>
      </w:r>
      <w:r>
        <w:rPr>
          <w:sz w:val="28"/>
          <w:szCs w:val="28"/>
          <w:lang w:val="uk-UA"/>
        </w:rPr>
        <w:t xml:space="preserve"> Вчителі та учні шкіл брали участь в обласних конкурсах та фестивалях.</w:t>
      </w:r>
    </w:p>
    <w:p>
      <w:pPr>
        <w:pStyle w:val="Normal"/>
        <w:tabs>
          <w:tab w:val="clear" w:pos="708"/>
          <w:tab w:val="left" w:pos="840" w:leader="none"/>
          <w:tab w:val="left" w:pos="2820" w:leader="none"/>
          <w:tab w:val="left" w:pos="8565" w:leader="none"/>
        </w:tabs>
        <w:ind w:left="-540" w:hanging="0"/>
        <w:jc w:val="both"/>
        <w:rPr>
          <w:sz w:val="28"/>
          <w:szCs w:val="28"/>
          <w:highlight w:val="yellow"/>
          <w:lang w:val="uk-UA"/>
        </w:rPr>
      </w:pPr>
      <w:r>
        <w:rPr/>
        <w:object>
          <v:shape id="ole_rId20" style="width:444.6pt;height:273.6pt" o:ole="">
            <v:imagedata r:id="rId21" o:title=""/>
          </v:shape>
          <o:OLEObject Type="Embed" ProgID="Excel.Chart.8" ShapeID="ole_rId20" DrawAspect="Content" ObjectID="_672571793" r:id="rId20"/>
        </w:object>
      </w:r>
    </w:p>
    <w:p>
      <w:pPr>
        <w:pStyle w:val="Normal"/>
        <w:ind w:left="-540" w:hanging="0"/>
        <w:jc w:val="both"/>
        <w:rPr>
          <w:sz w:val="28"/>
          <w:highlight w:val="yellow"/>
          <w:lang w:eastAsia="ja-JP"/>
        </w:rPr>
      </w:pPr>
      <w:r>
        <w:rPr>
          <w:sz w:val="28"/>
          <w:highlight w:val="yellow"/>
          <w:lang w:eastAsia="ja-JP"/>
        </w:rPr>
      </w:r>
    </w:p>
    <w:p>
      <w:pPr>
        <w:pStyle w:val="Normal"/>
        <w:ind w:left="-540" w:hanging="0"/>
        <w:jc w:val="both"/>
        <w:rPr>
          <w:sz w:val="28"/>
          <w:highlight w:val="yellow"/>
          <w:lang w:val="uk-UA" w:eastAsia="ja-JP"/>
        </w:rPr>
      </w:pPr>
      <w:r>
        <w:rPr>
          <w:b/>
          <w:sz w:val="28"/>
          <w:lang w:eastAsia="ja-JP"/>
        </w:rPr>
        <w:t xml:space="preserve">          </w:t>
      </w:r>
      <w:r>
        <w:rPr>
          <w:b/>
          <w:sz w:val="28"/>
          <w:lang w:eastAsia="ja-JP"/>
        </w:rPr>
        <w:t>Засоби масової інформації</w:t>
      </w:r>
      <w:r>
        <w:rPr>
          <w:sz w:val="28"/>
          <w:lang w:eastAsia="ja-JP"/>
        </w:rPr>
        <w:t xml:space="preserve"> профінансовано в сумі </w:t>
      </w:r>
      <w:r>
        <w:rPr>
          <w:sz w:val="28"/>
          <w:lang w:val="uk-UA" w:eastAsia="ja-JP"/>
        </w:rPr>
        <w:t>355,3</w:t>
      </w:r>
      <w:r>
        <w:rPr>
          <w:sz w:val="28"/>
          <w:lang w:eastAsia="ja-JP"/>
        </w:rPr>
        <w:t xml:space="preserve"> тис.грн.</w:t>
      </w:r>
      <w:r>
        <w:rPr>
          <w:sz w:val="28"/>
          <w:lang w:val="uk-UA" w:eastAsia="ja-JP"/>
        </w:rPr>
        <w:t xml:space="preserve">, які спрямовані </w:t>
      </w:r>
      <w:r>
        <w:rPr>
          <w:sz w:val="28"/>
          <w:lang w:eastAsia="ja-JP"/>
        </w:rPr>
        <w:t xml:space="preserve"> на висвітлення роботи органів влади в засобах періодичних видань</w:t>
      </w:r>
      <w:r>
        <w:rPr>
          <w:sz w:val="28"/>
          <w:lang w:val="uk-UA" w:eastAsia="ja-JP"/>
        </w:rPr>
        <w:t xml:space="preserve"> та на телебаченні і радіомовленні.</w:t>
      </w:r>
    </w:p>
    <w:p>
      <w:pPr>
        <w:pStyle w:val="Normal"/>
        <w:ind w:left="-540" w:hanging="0"/>
        <w:jc w:val="both"/>
        <w:rPr>
          <w:sz w:val="28"/>
          <w:highlight w:val="yellow"/>
          <w:lang w:val="uk-UA" w:eastAsia="ja-JP"/>
        </w:rPr>
      </w:pPr>
      <w:r>
        <w:rPr>
          <w:sz w:val="28"/>
          <w:highlight w:val="yellow"/>
          <w:lang w:val="uk-UA" w:eastAsia="ja-JP"/>
        </w:rPr>
      </w:r>
    </w:p>
    <w:p>
      <w:pPr>
        <w:pStyle w:val="Normal"/>
        <w:ind w:left="-540" w:firstLine="483"/>
        <w:jc w:val="both"/>
        <w:rPr>
          <w:sz w:val="28"/>
          <w:lang w:eastAsia="ja-JP"/>
        </w:rPr>
      </w:pPr>
      <w:r>
        <w:rPr>
          <w:sz w:val="28"/>
          <w:szCs w:val="28"/>
        </w:rPr>
        <w:t xml:space="preserve">    </w:t>
      </w:r>
      <w:r>
        <w:rPr>
          <w:sz w:val="28"/>
          <w:szCs w:val="28"/>
        </w:rPr>
        <w:t>З</w:t>
      </w:r>
      <w:r>
        <w:rPr>
          <w:b/>
          <w:sz w:val="28"/>
          <w:lang w:eastAsia="ja-JP"/>
        </w:rPr>
        <w:t>аклади фізичної культури та спорту</w:t>
      </w:r>
      <w:r>
        <w:rPr>
          <w:sz w:val="28"/>
          <w:lang w:eastAsia="ja-JP"/>
        </w:rPr>
        <w:t xml:space="preserve"> профінансовано на суму </w:t>
      </w:r>
      <w:r>
        <w:rPr>
          <w:sz w:val="28"/>
          <w:lang w:val="uk-UA" w:eastAsia="ja-JP"/>
        </w:rPr>
        <w:t>10196,3</w:t>
      </w:r>
      <w:r>
        <w:rPr>
          <w:sz w:val="28"/>
          <w:lang w:eastAsia="ja-JP"/>
        </w:rPr>
        <w:t xml:space="preserve"> тис.грн.  і виконання до річного бюджетного призначення становить </w:t>
      </w:r>
      <w:r>
        <w:rPr>
          <w:sz w:val="28"/>
          <w:lang w:val="uk-UA" w:eastAsia="ja-JP"/>
        </w:rPr>
        <w:t>100</w:t>
      </w:r>
      <w:r>
        <w:rPr>
          <w:sz w:val="28"/>
          <w:lang w:eastAsia="ja-JP"/>
        </w:rPr>
        <w:t xml:space="preserve"> відсотк</w:t>
      </w:r>
      <w:r>
        <w:rPr>
          <w:sz w:val="28"/>
          <w:lang w:val="uk-UA" w:eastAsia="ja-JP"/>
        </w:rPr>
        <w:t>ів</w:t>
      </w:r>
      <w:r>
        <w:rPr>
          <w:sz w:val="28"/>
          <w:lang w:eastAsia="ja-JP"/>
        </w:rPr>
        <w:t xml:space="preserve">. Питома вага видатків на фізичну культуру і спорт у видатках міського бюджету  становить </w:t>
      </w:r>
      <w:r>
        <w:rPr>
          <w:sz w:val="28"/>
          <w:lang w:val="uk-UA" w:eastAsia="ja-JP"/>
        </w:rPr>
        <w:t>1,5</w:t>
      </w:r>
      <w:r>
        <w:rPr>
          <w:sz w:val="28"/>
          <w:lang w:eastAsia="ja-JP"/>
        </w:rPr>
        <w:t xml:space="preserve"> відсотк</w:t>
      </w:r>
      <w:r>
        <w:rPr>
          <w:sz w:val="28"/>
          <w:lang w:val="uk-UA" w:eastAsia="ja-JP"/>
        </w:rPr>
        <w:t>а</w:t>
      </w:r>
      <w:r>
        <w:rPr>
          <w:sz w:val="28"/>
          <w:lang w:eastAsia="ja-JP"/>
        </w:rPr>
        <w:t xml:space="preserve">. Серед зазначених видатків </w:t>
      </w:r>
      <w:r>
        <w:rPr>
          <w:sz w:val="28"/>
          <w:lang w:val="uk-UA" w:eastAsia="ja-JP"/>
        </w:rPr>
        <w:t>3015,0</w:t>
      </w:r>
      <w:r>
        <w:rPr>
          <w:sz w:val="28"/>
          <w:lang w:eastAsia="ja-JP"/>
        </w:rPr>
        <w:t xml:space="preserve">  тис.грн. склали витрати на утримання центру «Спорт для всіх» та на проведення заходів з фізичної культури, </w:t>
      </w:r>
      <w:r>
        <w:rPr>
          <w:sz w:val="28"/>
          <w:lang w:val="uk-UA" w:eastAsia="ja-JP"/>
        </w:rPr>
        <w:t>6499,3</w:t>
      </w:r>
      <w:r>
        <w:rPr>
          <w:sz w:val="28"/>
          <w:lang w:eastAsia="ja-JP"/>
        </w:rPr>
        <w:t xml:space="preserve"> тис. грн.</w:t>
      </w:r>
      <w:r>
        <w:rPr>
          <w:sz w:val="28"/>
          <w:lang w:val="uk-UA" w:eastAsia="ja-JP"/>
        </w:rPr>
        <w:t xml:space="preserve"> -</w:t>
      </w:r>
      <w:r>
        <w:rPr>
          <w:sz w:val="28"/>
          <w:lang w:eastAsia="ja-JP"/>
        </w:rPr>
        <w:t xml:space="preserve"> на утримання та навчально–тренувальну роботу в дитячо-юнацьких спортивних школах, </w:t>
      </w:r>
      <w:r>
        <w:rPr>
          <w:sz w:val="28"/>
          <w:lang w:val="uk-UA" w:eastAsia="ja-JP"/>
        </w:rPr>
        <w:t>1412,1</w:t>
      </w:r>
      <w:r>
        <w:rPr>
          <w:sz w:val="28"/>
          <w:lang w:eastAsia="ja-JP"/>
        </w:rPr>
        <w:t xml:space="preserve"> тис.грн. – видатки</w:t>
      </w:r>
      <w:r>
        <w:rPr>
          <w:sz w:val="28"/>
          <w:lang w:val="uk-UA" w:eastAsia="ja-JP"/>
        </w:rPr>
        <w:t xml:space="preserve"> на підтримку  і розвиток спортивної інфраструктури, 369,7 тис.грн. – на інші заходи з розвитку фізичної культури та спорту, 682,0 тис.грн – на підтримку вищих досягнень та організацій, які здійснюють фізкультурно-спортивну діяльність в регіоні</w:t>
      </w:r>
      <w:r>
        <w:rPr>
          <w:sz w:val="28"/>
          <w:lang w:eastAsia="ja-JP"/>
        </w:rPr>
        <w:t>.</w:t>
      </w:r>
    </w:p>
    <w:p>
      <w:pPr>
        <w:pStyle w:val="Normal"/>
        <w:ind w:left="-540" w:firstLine="483"/>
        <w:jc w:val="both"/>
        <w:rPr>
          <w:sz w:val="28"/>
          <w:lang w:eastAsia="ja-JP"/>
        </w:rPr>
      </w:pPr>
      <w:r>
        <w:rPr>
          <w:sz w:val="28"/>
          <w:lang w:val="uk-UA" w:eastAsia="ja-JP"/>
        </w:rPr>
        <w:t>Капітальних видатків видатків здійснено на суму 4097,4 тис.грн.</w:t>
      </w:r>
    </w:p>
    <w:p>
      <w:pPr>
        <w:pStyle w:val="Normal"/>
        <w:jc w:val="both"/>
        <w:rPr>
          <w:sz w:val="28"/>
          <w:szCs w:val="28"/>
          <w:highlight w:val="yellow"/>
        </w:rPr>
      </w:pPr>
      <w:r>
        <w:rPr>
          <w:sz w:val="28"/>
        </w:rPr>
        <w:t xml:space="preserve">В дитячо-юнацьких спортивних школах в </w:t>
      </w:r>
      <w:r>
        <w:rPr>
          <w:sz w:val="28"/>
          <w:lang w:val="uk-UA"/>
        </w:rPr>
        <w:t>63</w:t>
      </w:r>
      <w:r>
        <w:rPr>
          <w:sz w:val="28"/>
        </w:rPr>
        <w:t xml:space="preserve"> групах займається </w:t>
      </w:r>
      <w:r>
        <w:rPr>
          <w:sz w:val="28"/>
          <w:lang w:val="uk-UA"/>
        </w:rPr>
        <w:t>717</w:t>
      </w:r>
      <w:r>
        <w:rPr>
          <w:sz w:val="28"/>
        </w:rPr>
        <w:t xml:space="preserve"> дітей.</w:t>
      </w:r>
    </w:p>
    <w:p>
      <w:pPr>
        <w:pStyle w:val="Normal"/>
        <w:ind w:left="-540" w:firstLine="720"/>
        <w:jc w:val="both"/>
        <w:rPr>
          <w:sz w:val="28"/>
          <w:highlight w:val="yellow"/>
        </w:rPr>
      </w:pPr>
      <w:r>
        <w:rPr>
          <w:sz w:val="28"/>
          <w:highlight w:val="yellow"/>
        </w:rPr>
      </w:r>
    </w:p>
    <w:p>
      <w:pPr>
        <w:pStyle w:val="Normal"/>
        <w:ind w:left="-540" w:firstLine="720"/>
        <w:jc w:val="both"/>
        <w:rPr>
          <w:b/>
          <w:b/>
          <w:sz w:val="28"/>
          <w:szCs w:val="28"/>
          <w:lang w:val="uk-UA" w:eastAsia="ja-JP"/>
        </w:rPr>
      </w:pPr>
      <w:r>
        <w:rPr>
          <w:b/>
          <w:sz w:val="28"/>
          <w:szCs w:val="28"/>
          <w:lang w:val="uk-UA" w:eastAsia="ja-JP"/>
        </w:rPr>
        <w:t xml:space="preserve">                                              </w:t>
      </w:r>
      <w:r>
        <w:rPr>
          <w:b/>
          <w:sz w:val="28"/>
          <w:szCs w:val="28"/>
          <w:lang w:val="uk-UA" w:eastAsia="ja-JP"/>
        </w:rPr>
        <w:t>Фінансування</w:t>
      </w:r>
    </w:p>
    <w:p>
      <w:pPr>
        <w:pStyle w:val="Normal"/>
        <w:ind w:left="-540" w:firstLine="720"/>
        <w:jc w:val="both"/>
        <w:rPr>
          <w:b/>
          <w:b/>
          <w:sz w:val="28"/>
          <w:szCs w:val="28"/>
          <w:lang w:val="uk-UA" w:eastAsia="ja-JP"/>
        </w:rPr>
      </w:pPr>
      <w:r>
        <w:rPr>
          <w:b/>
          <w:sz w:val="28"/>
          <w:szCs w:val="28"/>
          <w:lang w:val="uk-UA" w:eastAsia="ja-JP"/>
        </w:rPr>
      </w:r>
    </w:p>
    <w:p>
      <w:pPr>
        <w:pStyle w:val="Normal"/>
        <w:ind w:left="-540" w:firstLine="720"/>
        <w:jc w:val="both"/>
        <w:rPr>
          <w:sz w:val="28"/>
          <w:szCs w:val="28"/>
          <w:lang w:val="uk-UA" w:eastAsia="ja-JP"/>
        </w:rPr>
      </w:pPr>
      <w:r>
        <w:rPr>
          <w:sz w:val="28"/>
          <w:szCs w:val="28"/>
          <w:lang w:val="uk-UA" w:eastAsia="ja-JP"/>
        </w:rPr>
        <w:t>Станом на 01.01.2019 р. залишок готівкових коштів загального фонду міського бюджету становив 30044,3 тис.грн., спеціального фонду –  1393,8 тис.грн. Ці кошти використовувались для покриття різниці між доходами і видатками міського бюджету. Станом на 01.01.2020 р. залишок готівкових коштів загального фонду міського бюджету становить 14122,2 тис.грн., спеціального – 3120,6 тис.грн. В звітному періоді було забезпечено збереження оборотної касової готівки.</w:t>
      </w:r>
    </w:p>
    <w:p>
      <w:pPr>
        <w:pStyle w:val="Normal"/>
        <w:ind w:left="-540" w:firstLine="720"/>
        <w:jc w:val="both"/>
        <w:rPr>
          <w:b/>
          <w:b/>
          <w:sz w:val="28"/>
          <w:szCs w:val="28"/>
          <w:lang w:val="uk-UA" w:eastAsia="ja-JP"/>
        </w:rPr>
      </w:pPr>
      <w:r>
        <w:rPr>
          <w:b/>
          <w:sz w:val="28"/>
          <w:szCs w:val="28"/>
          <w:lang w:val="uk-UA" w:eastAsia="ja-JP"/>
        </w:rPr>
        <w:t xml:space="preserve">                                </w:t>
      </w:r>
      <w:r>
        <w:rPr>
          <w:b/>
          <w:sz w:val="28"/>
          <w:szCs w:val="28"/>
          <w:lang w:val="uk-UA" w:eastAsia="ja-JP"/>
        </w:rPr>
        <w:t>Міжбюджетні трансферти</w:t>
      </w:r>
    </w:p>
    <w:p>
      <w:pPr>
        <w:pStyle w:val="Normal"/>
        <w:ind w:left="-540" w:firstLine="720"/>
        <w:jc w:val="both"/>
        <w:rPr>
          <w:b/>
          <w:b/>
          <w:sz w:val="28"/>
          <w:szCs w:val="28"/>
          <w:lang w:val="uk-UA" w:eastAsia="ja-JP"/>
        </w:rPr>
      </w:pPr>
      <w:r>
        <w:rPr>
          <w:b/>
          <w:sz w:val="28"/>
          <w:szCs w:val="28"/>
          <w:lang w:val="uk-UA" w:eastAsia="ja-JP"/>
        </w:rPr>
      </w:r>
      <w:bookmarkStart w:id="0" w:name="_GoBack"/>
      <w:bookmarkStart w:id="1" w:name="_GoBack"/>
      <w:bookmarkEnd w:id="1"/>
    </w:p>
    <w:p>
      <w:pPr>
        <w:pStyle w:val="Normal"/>
        <w:ind w:left="-540" w:firstLine="720"/>
        <w:jc w:val="both"/>
        <w:rPr>
          <w:sz w:val="28"/>
          <w:szCs w:val="28"/>
          <w:lang w:val="uk-UA" w:eastAsia="ja-JP"/>
        </w:rPr>
      </w:pPr>
      <w:r>
        <w:rPr>
          <w:sz w:val="28"/>
          <w:szCs w:val="28"/>
          <w:lang w:val="uk-UA" w:eastAsia="ja-JP"/>
        </w:rPr>
        <w:t>Здійснено видатки у 2019 році на суму 2305,0 тис.грн. до бюджету Ковельського району за обслуговування мешканців м.Ковеля Ковельською районною централізованою бібліотечною системою. Фінансування поточних трансфертів до бюджету Ковельського району здійснено стовідсотково.</w:t>
      </w:r>
    </w:p>
    <w:p>
      <w:pPr>
        <w:pStyle w:val="Normal"/>
        <w:ind w:left="-540" w:firstLine="720"/>
        <w:jc w:val="both"/>
        <w:rPr>
          <w:sz w:val="28"/>
          <w:szCs w:val="28"/>
          <w:lang w:val="uk-UA" w:eastAsia="ja-JP"/>
        </w:rPr>
      </w:pPr>
      <w:r>
        <w:rPr>
          <w:sz w:val="28"/>
          <w:szCs w:val="28"/>
          <w:lang w:val="uk-UA" w:eastAsia="ja-JP"/>
        </w:rPr>
      </w:r>
    </w:p>
    <w:p>
      <w:pPr>
        <w:pStyle w:val="Normal"/>
        <w:ind w:firstLine="567"/>
        <w:jc w:val="both"/>
        <w:rPr>
          <w:b/>
          <w:b/>
          <w:sz w:val="28"/>
          <w:szCs w:val="28"/>
        </w:rPr>
      </w:pPr>
      <w:r>
        <w:rPr>
          <w:b/>
          <w:sz w:val="28"/>
          <w:szCs w:val="28"/>
          <w:lang w:val="uk-UA"/>
        </w:rPr>
        <w:t>Стан дебіторської та кредиторської заборгованості по загальному та спеціальному фонду станом на 01.</w:t>
      </w:r>
      <w:r>
        <w:rPr>
          <w:b/>
          <w:sz w:val="28"/>
          <w:szCs w:val="28"/>
        </w:rPr>
        <w:t>01</w:t>
      </w:r>
      <w:r>
        <w:rPr>
          <w:b/>
          <w:sz w:val="28"/>
          <w:szCs w:val="28"/>
          <w:lang w:val="uk-UA"/>
        </w:rPr>
        <w:t>.2020</w:t>
      </w:r>
      <w:r>
        <w:rPr>
          <w:b/>
          <w:sz w:val="28"/>
          <w:szCs w:val="28"/>
        </w:rPr>
        <w:t>року</w:t>
      </w:r>
    </w:p>
    <w:p>
      <w:pPr>
        <w:pStyle w:val="Normal"/>
        <w:ind w:firstLine="567"/>
        <w:jc w:val="both"/>
        <w:rPr>
          <w:b/>
          <w:b/>
          <w:sz w:val="28"/>
          <w:szCs w:val="28"/>
          <w:lang w:val="uk-UA"/>
        </w:rPr>
      </w:pPr>
      <w:r>
        <w:rPr>
          <w:sz w:val="28"/>
          <w:szCs w:val="28"/>
          <w:lang w:val="uk-UA"/>
        </w:rPr>
        <w:t xml:space="preserve">                                            </w:t>
      </w:r>
      <w:r>
        <w:rPr>
          <w:b/>
          <w:sz w:val="28"/>
          <w:szCs w:val="28"/>
          <w:lang w:val="uk-UA"/>
        </w:rPr>
        <w:t>Загальний фонд</w:t>
      </w:r>
    </w:p>
    <w:p>
      <w:pPr>
        <w:pStyle w:val="BodyText2"/>
        <w:spacing w:lineRule="auto" w:line="240"/>
        <w:ind w:left="-540" w:firstLine="567"/>
        <w:jc w:val="both"/>
        <w:rPr>
          <w:sz w:val="28"/>
          <w:szCs w:val="28"/>
        </w:rPr>
      </w:pPr>
      <w:r>
        <w:rPr>
          <w:sz w:val="28"/>
          <w:szCs w:val="28"/>
        </w:rPr>
        <w:t>Дебіторська заборгованість загального фонду  міського бюджету  станом на 01.01.2020р. становить  42,2 тис. грн. -  це   заборгованість віднесена на витрати майбутніх періодів.</w:t>
      </w:r>
    </w:p>
    <w:p>
      <w:pPr>
        <w:pStyle w:val="Normal"/>
        <w:ind w:left="-540" w:hanging="0"/>
        <w:jc w:val="both"/>
        <w:rPr>
          <w:b/>
          <w:b/>
          <w:sz w:val="28"/>
          <w:szCs w:val="28"/>
        </w:rPr>
      </w:pPr>
      <w:r>
        <w:rPr>
          <w:sz w:val="28"/>
          <w:szCs w:val="28"/>
        </w:rPr>
        <w:t xml:space="preserve">         </w:t>
      </w:r>
      <w:r>
        <w:rPr>
          <w:sz w:val="28"/>
          <w:szCs w:val="28"/>
          <w:lang w:val="uk-UA"/>
        </w:rPr>
        <w:t xml:space="preserve">Кредиторська заборгованість  по загальному фонду міського бюджету станом на 01.01.2020 р. </w:t>
      </w:r>
      <w:r>
        <w:rPr>
          <w:b/>
          <w:sz w:val="28"/>
          <w:szCs w:val="28"/>
          <w:lang w:val="uk-UA"/>
        </w:rPr>
        <w:t xml:space="preserve">      </w:t>
      </w:r>
    </w:p>
    <w:p>
      <w:pPr>
        <w:pStyle w:val="Normal"/>
        <w:ind w:firstLine="567"/>
        <w:jc w:val="both"/>
        <w:rPr>
          <w:sz w:val="28"/>
          <w:szCs w:val="28"/>
          <w:lang w:val="uk-UA"/>
        </w:rPr>
      </w:pPr>
      <w:r>
        <w:rPr>
          <w:b/>
          <w:sz w:val="28"/>
          <w:szCs w:val="28"/>
          <w:lang w:val="uk-UA"/>
        </w:rPr>
        <w:t xml:space="preserve">                                          </w:t>
      </w:r>
      <w:r>
        <w:rPr>
          <w:b/>
          <w:sz w:val="28"/>
          <w:szCs w:val="28"/>
          <w:lang w:val="uk-UA"/>
        </w:rPr>
        <w:t>Спеціальний фонд</w:t>
      </w:r>
    </w:p>
    <w:p>
      <w:pPr>
        <w:pStyle w:val="Normal"/>
        <w:jc w:val="both"/>
        <w:rPr>
          <w:sz w:val="28"/>
          <w:szCs w:val="28"/>
          <w:lang w:val="uk-UA"/>
        </w:rPr>
      </w:pPr>
      <w:r>
        <w:rPr>
          <w:sz w:val="28"/>
          <w:szCs w:val="28"/>
        </w:rPr>
        <w:t xml:space="preserve">          </w:t>
      </w:r>
      <w:r>
        <w:rPr>
          <w:sz w:val="28"/>
          <w:szCs w:val="28"/>
          <w:lang w:val="uk-UA"/>
        </w:rPr>
        <w:t xml:space="preserve">  </w:t>
      </w:r>
    </w:p>
    <w:p>
      <w:pPr>
        <w:pStyle w:val="BodyText2"/>
        <w:spacing w:lineRule="auto" w:line="240"/>
        <w:ind w:left="-540" w:firstLine="567"/>
        <w:jc w:val="both"/>
        <w:rPr>
          <w:sz w:val="28"/>
          <w:szCs w:val="28"/>
          <w:lang w:val="uk-UA"/>
        </w:rPr>
      </w:pPr>
      <w:r>
        <w:rPr>
          <w:sz w:val="28"/>
          <w:szCs w:val="28"/>
        </w:rPr>
        <w:t xml:space="preserve">  </w:t>
      </w:r>
      <w:r>
        <w:rPr>
          <w:sz w:val="28"/>
          <w:szCs w:val="28"/>
        </w:rPr>
        <w:t>Дебіторська заборгованість спеціального фонду міського бюджету станом на 01.01.2020р. становить 3,3 тис.грн. -  це   заборгованість  по поточних видатках віднесена на витрати майбутніх періодів.</w:t>
      </w:r>
    </w:p>
    <w:p>
      <w:pPr>
        <w:pStyle w:val="Normal"/>
        <w:ind w:left="-540" w:hanging="0"/>
        <w:jc w:val="both"/>
        <w:rPr>
          <w:sz w:val="28"/>
          <w:szCs w:val="28"/>
        </w:rPr>
      </w:pPr>
      <w:r>
        <w:rPr>
          <w:sz w:val="28"/>
          <w:szCs w:val="28"/>
          <w:lang w:val="uk-UA"/>
        </w:rPr>
        <w:t xml:space="preserve"> </w:t>
      </w:r>
      <w:r>
        <w:rPr>
          <w:sz w:val="28"/>
          <w:szCs w:val="28"/>
        </w:rPr>
        <w:t xml:space="preserve">           </w:t>
      </w:r>
      <w:r>
        <w:rPr>
          <w:sz w:val="28"/>
          <w:szCs w:val="28"/>
        </w:rPr>
        <w:t>Станом на 01.01.20</w:t>
      </w:r>
      <w:r>
        <w:rPr>
          <w:sz w:val="28"/>
          <w:szCs w:val="28"/>
          <w:lang w:val="uk-UA"/>
        </w:rPr>
        <w:t>20</w:t>
      </w:r>
      <w:r>
        <w:rPr>
          <w:sz w:val="28"/>
          <w:szCs w:val="28"/>
        </w:rPr>
        <w:t xml:space="preserve">р. по спеціальному фонду міського бюджету кредиторська заборгованість відсутня. </w:t>
      </w:r>
    </w:p>
    <w:p>
      <w:pPr>
        <w:pStyle w:val="Normal"/>
        <w:ind w:left="-540" w:firstLine="720"/>
        <w:jc w:val="both"/>
        <w:rPr>
          <w:sz w:val="28"/>
          <w:szCs w:val="28"/>
          <w:lang w:eastAsia="ja-JP"/>
        </w:rPr>
      </w:pPr>
      <w:r>
        <w:rPr>
          <w:sz w:val="28"/>
          <w:szCs w:val="28"/>
          <w:lang w:eastAsia="ja-JP"/>
        </w:rPr>
      </w:r>
    </w:p>
    <w:p>
      <w:pPr>
        <w:pStyle w:val="Normal"/>
        <w:ind w:left="-540" w:hanging="0"/>
        <w:jc w:val="both"/>
        <w:rPr>
          <w:sz w:val="28"/>
          <w:szCs w:val="28"/>
        </w:rPr>
      </w:pPr>
      <w:r>
        <w:rPr/>
      </w:r>
    </w:p>
    <w:p>
      <w:pPr>
        <w:pStyle w:val="Normal"/>
        <w:ind w:left="-540" w:hanging="0"/>
        <w:jc w:val="both"/>
        <w:rPr>
          <w:sz w:val="28"/>
          <w:szCs w:val="28"/>
        </w:rPr>
      </w:pPr>
      <w:r>
        <w:rPr/>
      </w:r>
    </w:p>
    <w:p>
      <w:pPr>
        <w:pStyle w:val="Normal"/>
        <w:ind w:left="-540" w:hanging="0"/>
        <w:jc w:val="both"/>
        <w:rPr>
          <w:sz w:val="28"/>
          <w:szCs w:val="28"/>
        </w:rPr>
      </w:pPr>
      <w:r>
        <w:rPr/>
      </w:r>
    </w:p>
    <w:p>
      <w:pPr>
        <w:pStyle w:val="Normal"/>
        <w:ind w:left="-540" w:hanging="0"/>
        <w:jc w:val="both"/>
        <w:rPr>
          <w:sz w:val="28"/>
          <w:szCs w:val="28"/>
          <w:lang w:val="uk-UA"/>
        </w:rPr>
      </w:pPr>
      <w:r>
        <w:rPr>
          <w:sz w:val="28"/>
          <w:szCs w:val="28"/>
        </w:rPr>
        <w:t>Начальник  управління                                                                В.О.Романчук</w:t>
      </w:r>
    </w:p>
    <w:p>
      <w:pPr>
        <w:pStyle w:val="Normal"/>
        <w:ind w:left="-540" w:hanging="0"/>
        <w:jc w:val="both"/>
        <w:rPr>
          <w:sz w:val="28"/>
          <w:szCs w:val="28"/>
          <w:lang w:val="uk-UA"/>
        </w:rPr>
      </w:pPr>
      <w:r>
        <w:rPr>
          <w:sz w:val="28"/>
          <w:szCs w:val="28"/>
          <w:lang w:val="uk-UA"/>
        </w:rPr>
      </w:r>
    </w:p>
    <w:p>
      <w:pPr>
        <w:pStyle w:val="Normal"/>
        <w:ind w:left="-540" w:hanging="0"/>
        <w:jc w:val="both"/>
        <w:rPr>
          <w:sz w:val="28"/>
          <w:szCs w:val="28"/>
          <w:lang w:val="uk-UA"/>
        </w:rPr>
      </w:pPr>
      <w:r>
        <w:rPr>
          <w:sz w:val="28"/>
          <w:szCs w:val="28"/>
          <w:lang w:val="uk-UA"/>
        </w:rPr>
      </w:r>
    </w:p>
    <w:p>
      <w:pPr>
        <w:pStyle w:val="Normal"/>
        <w:ind w:left="-540" w:hanging="0"/>
        <w:jc w:val="both"/>
        <w:rPr>
          <w:sz w:val="28"/>
          <w:szCs w:val="28"/>
          <w:lang w:val="uk-UA"/>
        </w:rPr>
      </w:pPr>
      <w:r>
        <w:rPr>
          <w:sz w:val="28"/>
          <w:szCs w:val="28"/>
          <w:lang w:val="uk-UA"/>
        </w:rPr>
      </w:r>
    </w:p>
    <w:p>
      <w:pPr>
        <w:pStyle w:val="Normal"/>
        <w:numPr>
          <w:ilvl w:val="0"/>
          <w:numId w:val="0"/>
        </w:numPr>
        <w:ind w:left="-540" w:hanging="0"/>
        <w:jc w:val="both"/>
        <w:outlineLvl w:val="0"/>
        <w:rPr>
          <w:sz w:val="28"/>
          <w:szCs w:val="28"/>
        </w:rPr>
      </w:pPr>
      <w:r>
        <w:rPr>
          <w:sz w:val="28"/>
          <w:szCs w:val="28"/>
        </w:rPr>
        <w:t xml:space="preserve">Дяків, </w:t>
      </w:r>
      <w:r>
        <w:rPr>
          <w:sz w:val="28"/>
          <w:szCs w:val="28"/>
          <w:lang w:val="uk-UA"/>
        </w:rPr>
        <w:t>5372</w:t>
      </w:r>
      <w:r>
        <w:rPr>
          <w:sz w:val="28"/>
          <w:szCs w:val="28"/>
        </w:rPr>
        <w:t>0</w:t>
      </w:r>
    </w:p>
    <w:p>
      <w:pPr>
        <w:pStyle w:val="Normal"/>
        <w:ind w:left="-540" w:hanging="0"/>
        <w:jc w:val="both"/>
        <w:rPr>
          <w:sz w:val="28"/>
          <w:szCs w:val="28"/>
        </w:rPr>
      </w:pPr>
      <w:r>
        <w:rPr>
          <w:sz w:val="28"/>
          <w:szCs w:val="28"/>
        </w:rPr>
        <w:t>Затериха, 34802</w:t>
      </w:r>
    </w:p>
    <w:p>
      <w:pPr>
        <w:pStyle w:val="Normal"/>
        <w:ind w:left="-540" w:hanging="0"/>
        <w:jc w:val="both"/>
        <w:rPr>
          <w:b/>
          <w:b/>
          <w:szCs w:val="28"/>
          <w:highlight w:val="yellow"/>
        </w:rPr>
      </w:pPr>
      <w:r>
        <w:rPr>
          <w:sz w:val="28"/>
          <w:szCs w:val="28"/>
        </w:rPr>
        <w:t xml:space="preserve">Родичева </w:t>
      </w:r>
      <w:r>
        <w:rPr/>
        <w:t>59570</w:t>
      </w:r>
    </w:p>
    <w:p>
      <w:pPr>
        <w:pStyle w:val="Normal"/>
        <w:rPr/>
      </w:pPr>
      <w:r>
        <w:rPr/>
      </w:r>
    </w:p>
    <w:p>
      <w:pPr>
        <w:pStyle w:val="Normal"/>
        <w:rPr/>
      </w:pPr>
      <w:r>
        <w:rPr/>
      </w:r>
    </w:p>
    <w:sectPr>
      <w:type w:val="nextPage"/>
      <w:pgSz w:w="11906" w:h="16838"/>
      <w:pgMar w:left="1701" w:right="850" w:header="0" w:top="719"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Arial">
    <w:charset w:val="cc"/>
    <w:family w:val="roman"/>
    <w:pitch w:val="variable"/>
  </w:font>
  <w:font w:name="Segoe UI">
    <w:charset w:val="cc"/>
    <w:family w:val="roman"/>
    <w:pitch w:val="variable"/>
  </w:font>
  <w:font w:name="Liberation Sans">
    <w:altName w:val="Arial"/>
    <w:charset w:val="cc"/>
    <w:family w:val="roman"/>
    <w:pitch w:val="variable"/>
  </w:font>
</w:fonts>
</file>

<file path=word/settings.xml><?xml version="1.0" encoding="utf-8"?>
<w:settings xmlns:w="http://schemas.openxmlformats.org/wordprocessingml/2006/main">
  <w:zoom w:percent="100"/>
  <w:defaultTabStop w:val="708"/>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szCs w:val="22"/>
        <w:lang w:val="en-US" w:eastAsia="en-US" w:bidi="ar-SA"/>
      </w:rPr>
    </w:rPrDefault>
    <w:pPrDefault>
      <w:pPr/>
    </w:pPrDefault>
  </w:docDefaults>
  <w:latentStyles w:defLockedState="0" w:defUIPriority="99" w:defSemiHidden="1" w:defUnhideWhenUsed="1" w:defQFormat="0" w:count="267">
    <w:lsdException w:name="Normal" w:locked="1" w:uiPriority="0" w:semiHidden="0" w:unhideWhenUsed="0" w:qFormat="1"/>
    <w:lsdException w:name="heading 1" w:locked="1" w:uiPriority="0"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semiHidden="0" w:unhideWhenUsed="0"/>
    <w:lsdException w:name="toc 2" w:locked="1" w:uiPriority="0" w:semiHidden="0" w:unhideWhenUsed="0"/>
    <w:lsdException w:name="toc 3" w:locked="1" w:uiPriority="0" w:semiHidden="0" w:unhideWhenUsed="0"/>
    <w:lsdException w:name="toc 4" w:locked="1" w:uiPriority="0" w:semiHidden="0" w:unhideWhenUsed="0"/>
    <w:lsdException w:name="toc 5" w:locked="1" w:uiPriority="0" w:semiHidden="0" w:unhideWhenUsed="0"/>
    <w:lsdException w:name="toc 6" w:locked="1" w:uiPriority="0" w:semiHidden="0" w:unhideWhenUsed="0"/>
    <w:lsdException w:name="toc 7" w:locked="1" w:uiPriority="0" w:semiHidden="0" w:unhideWhenUsed="0"/>
    <w:lsdException w:name="toc 8" w:locked="1" w:uiPriority="0" w:semiHidden="0" w:unhideWhenUsed="0"/>
    <w:lsdException w:name="toc 9" w:locked="1" w:uiPriority="0" w:semiHidden="0" w:unhideWhenUsed="0"/>
    <w:lsdException w:name="caption" w:locked="1" w:uiPriority="0" w:qFormat="1"/>
    <w:lsdException w:name="Title" w:locked="1" w:uiPriority="0" w:semiHidden="0" w:unhideWhenUsed="0" w:qFormat="1"/>
    <w:lsdException w:name="Default Paragraph Font" w:locked="1" w:uiPriority="0" w:semiHidden="0" w:unhideWhenUsed="0"/>
    <w:lsdException w:name="Body Text" w:locked="1" w:uiPriority="0" w:semiHidden="0" w:unhideWhenUsed="0"/>
    <w:lsdException w:name="Body Text Indent" w:locked="1" w:uiPriority="0" w:semiHidden="0" w:unhideWhenUsed="0"/>
    <w:lsdException w:name="Subtitle" w:locked="1" w:uiPriority="0" w:semiHidden="0" w:unhideWhenUsed="0" w:qFormat="1"/>
    <w:lsdException w:name="Body Text 2" w:locked="1" w:uiPriority="0" w:semiHidden="0" w:unhideWhenUsed="0"/>
    <w:lsdException w:name="Body Text Indent 2" w:locked="1" w:uiPriority="0" w:semiHidden="0" w:unhideWhenUsed="0"/>
    <w:lsdException w:name="Strong" w:locked="1" w:uiPriority="0" w:semiHidden="0" w:unhideWhenUsed="0" w:qFormat="1"/>
    <w:lsdException w:name="Emphasis" w:locked="1" w:uiPriority="0" w:semiHidden="0" w:unhideWhenUsed="0" w:qFormat="1"/>
    <w:lsdException w:name="Table Grid" w:locked="1"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6032f"/>
    <w:pPr>
      <w:widowControl/>
      <w:bidi w:val="0"/>
      <w:jc w:val="left"/>
    </w:pPr>
    <w:rPr>
      <w:rFonts w:ascii="Times New Roman" w:hAnsi="Times New Roman" w:eastAsia="Times New Roman" w:cs="Times New Roman"/>
      <w:color w:val="auto"/>
      <w:kern w:val="0"/>
      <w:sz w:val="24"/>
      <w:szCs w:val="24"/>
      <w:lang w:val="ru-RU" w:eastAsia="ru-RU" w:bidi="ar-SA"/>
    </w:rPr>
  </w:style>
  <w:style w:type="character" w:styleId="DefaultParagraphFont" w:default="1">
    <w:name w:val="Default Paragraph Font"/>
    <w:uiPriority w:val="99"/>
    <w:semiHidden/>
    <w:qFormat/>
    <w:rPr/>
  </w:style>
  <w:style w:type="character" w:styleId="BodyTextChar" w:customStyle="1">
    <w:name w:val="Body Text Char"/>
    <w:basedOn w:val="DefaultParagraphFont"/>
    <w:link w:val="BodyText"/>
    <w:uiPriority w:val="99"/>
    <w:qFormat/>
    <w:locked/>
    <w:rsid w:val="0036032f"/>
    <w:rPr>
      <w:rFonts w:ascii="Times New Roman" w:hAnsi="Times New Roman" w:cs="Times New Roman"/>
      <w:sz w:val="20"/>
      <w:szCs w:val="20"/>
      <w:lang w:eastAsia="ru-RU"/>
    </w:rPr>
  </w:style>
  <w:style w:type="character" w:styleId="BodyTextIndentChar" w:customStyle="1">
    <w:name w:val="Body Text Indent Char"/>
    <w:basedOn w:val="DefaultParagraphFont"/>
    <w:link w:val="BodyTextIndent"/>
    <w:uiPriority w:val="99"/>
    <w:qFormat/>
    <w:locked/>
    <w:rsid w:val="0036032f"/>
    <w:rPr>
      <w:rFonts w:ascii="Times New Roman" w:hAnsi="Times New Roman" w:cs="Times New Roman"/>
      <w:sz w:val="24"/>
      <w:szCs w:val="24"/>
      <w:lang w:val="ru-RU" w:eastAsia="ru-RU"/>
    </w:rPr>
  </w:style>
  <w:style w:type="character" w:styleId="BodyText2Char" w:customStyle="1">
    <w:name w:val="Body Text 2 Char"/>
    <w:basedOn w:val="DefaultParagraphFont"/>
    <w:link w:val="BodyText2"/>
    <w:uiPriority w:val="99"/>
    <w:qFormat/>
    <w:locked/>
    <w:rsid w:val="0036032f"/>
    <w:rPr>
      <w:rFonts w:ascii="Times New Roman" w:hAnsi="Times New Roman" w:cs="Times New Roman"/>
      <w:sz w:val="24"/>
      <w:szCs w:val="24"/>
      <w:lang w:val="ru-RU" w:eastAsia="ru-RU"/>
    </w:rPr>
  </w:style>
  <w:style w:type="character" w:styleId="FR2" w:customStyle="1">
    <w:name w:val="FR2 Знак"/>
    <w:basedOn w:val="DefaultParagraphFont"/>
    <w:link w:val="FR2"/>
    <w:uiPriority w:val="99"/>
    <w:qFormat/>
    <w:locked/>
    <w:rsid w:val="0036032f"/>
    <w:rPr>
      <w:rFonts w:ascii="Arial" w:hAnsi="Arial" w:cs="Arial"/>
      <w:sz w:val="16"/>
      <w:szCs w:val="16"/>
      <w:lang w:val="uk-UA" w:eastAsia="ar-SA" w:bidi="ar-SA"/>
    </w:rPr>
  </w:style>
  <w:style w:type="character" w:styleId="BalloonTextChar" w:customStyle="1">
    <w:name w:val="Balloon Text Char"/>
    <w:basedOn w:val="DefaultParagraphFont"/>
    <w:link w:val="BalloonText"/>
    <w:uiPriority w:val="99"/>
    <w:semiHidden/>
    <w:qFormat/>
    <w:locked/>
    <w:rsid w:val="008f510c"/>
    <w:rPr>
      <w:rFonts w:ascii="Segoe UI" w:hAnsi="Segoe UI" w:cs="Segoe UI"/>
      <w:sz w:val="18"/>
      <w:szCs w:val="18"/>
      <w:lang w:val="ru-RU" w:eastAsia="ru-RU"/>
    </w:rPr>
  </w:style>
  <w:style w:type="character" w:styleId="BodyTextIndent2Char" w:customStyle="1">
    <w:name w:val="Body Text Indent 2 Char"/>
    <w:basedOn w:val="DefaultParagraphFont"/>
    <w:link w:val="BodyTextIndent2"/>
    <w:uiPriority w:val="99"/>
    <w:qFormat/>
    <w:locked/>
    <w:rsid w:val="00280a76"/>
    <w:rPr>
      <w:rFonts w:ascii="Times New Roman" w:hAnsi="Times New Roman" w:cs="Times New Roman"/>
      <w:sz w:val="20"/>
      <w:szCs w:val="20"/>
      <w:lang w:eastAsia="ru-RU"/>
    </w:rPr>
  </w:style>
  <w:style w:type="paragraph" w:styleId="Style14">
    <w:name w:val="Заголовок"/>
    <w:basedOn w:val="Normal"/>
    <w:next w:val="Style15"/>
    <w:qFormat/>
    <w:pPr>
      <w:keepNext w:val="true"/>
      <w:spacing w:before="240" w:after="120"/>
    </w:pPr>
    <w:rPr>
      <w:rFonts w:ascii="Liberation Sans" w:hAnsi="Liberation Sans" w:eastAsia="Microsoft YaHei" w:cs="Arial"/>
      <w:sz w:val="28"/>
      <w:szCs w:val="28"/>
    </w:rPr>
  </w:style>
  <w:style w:type="paragraph" w:styleId="Style15">
    <w:name w:val="Body Text"/>
    <w:basedOn w:val="Normal"/>
    <w:link w:val="BodyTextChar"/>
    <w:uiPriority w:val="99"/>
    <w:rsid w:val="0036032f"/>
    <w:pPr/>
    <w:rPr>
      <w:sz w:val="28"/>
      <w:szCs w:val="20"/>
      <w:lang w:val="uk-UA"/>
    </w:rPr>
  </w:style>
  <w:style w:type="paragraph" w:styleId="Style16">
    <w:name w:val="List"/>
    <w:basedOn w:val="Style15"/>
    <w:pPr/>
    <w:rPr>
      <w:rFonts w:cs="Arial"/>
    </w:rPr>
  </w:style>
  <w:style w:type="paragraph" w:styleId="Style17">
    <w:name w:val="Caption"/>
    <w:basedOn w:val="Normal"/>
    <w:qFormat/>
    <w:pPr>
      <w:suppressLineNumbers/>
      <w:spacing w:before="120" w:after="120"/>
    </w:pPr>
    <w:rPr>
      <w:rFonts w:cs="Arial"/>
      <w:i/>
      <w:iCs/>
      <w:sz w:val="24"/>
      <w:szCs w:val="24"/>
    </w:rPr>
  </w:style>
  <w:style w:type="paragraph" w:styleId="Style18">
    <w:name w:val="Покажчик"/>
    <w:basedOn w:val="Normal"/>
    <w:qFormat/>
    <w:pPr>
      <w:suppressLineNumbers/>
    </w:pPr>
    <w:rPr>
      <w:rFonts w:cs="Arial"/>
    </w:rPr>
  </w:style>
  <w:style w:type="paragraph" w:styleId="Style19">
    <w:name w:val="Body Text Indent"/>
    <w:basedOn w:val="Normal"/>
    <w:link w:val="BodyTextIndentChar"/>
    <w:uiPriority w:val="99"/>
    <w:rsid w:val="0036032f"/>
    <w:pPr>
      <w:spacing w:before="0" w:after="120"/>
      <w:ind w:left="283" w:hanging="0"/>
    </w:pPr>
    <w:rPr/>
  </w:style>
  <w:style w:type="paragraph" w:styleId="BodyText2">
    <w:name w:val="Body Text 2"/>
    <w:basedOn w:val="Normal"/>
    <w:link w:val="BodyText2Char"/>
    <w:uiPriority w:val="99"/>
    <w:qFormat/>
    <w:rsid w:val="0036032f"/>
    <w:pPr>
      <w:spacing w:lineRule="auto" w:line="480" w:before="0" w:after="120"/>
    </w:pPr>
    <w:rPr/>
  </w:style>
  <w:style w:type="paragraph" w:styleId="FR21" w:customStyle="1">
    <w:name w:val="FR2"/>
    <w:link w:val="FR20"/>
    <w:uiPriority w:val="99"/>
    <w:qFormat/>
    <w:rsid w:val="0036032f"/>
    <w:pPr>
      <w:widowControl w:val="false"/>
      <w:suppressAutoHyphens w:val="true"/>
      <w:bidi w:val="0"/>
      <w:spacing w:before="460" w:after="0"/>
      <w:ind w:left="1720" w:hanging="0"/>
      <w:jc w:val="left"/>
    </w:pPr>
    <w:rPr>
      <w:rFonts w:ascii="Arial" w:hAnsi="Arial" w:eastAsia="Times New Roman" w:cs="Arial"/>
      <w:color w:val="auto"/>
      <w:kern w:val="0"/>
      <w:sz w:val="16"/>
      <w:szCs w:val="16"/>
      <w:lang w:val="uk-UA" w:eastAsia="ar-SA" w:bidi="ar-SA"/>
    </w:rPr>
  </w:style>
  <w:style w:type="paragraph" w:styleId="BalloonText">
    <w:name w:val="Balloon Text"/>
    <w:basedOn w:val="Normal"/>
    <w:link w:val="BalloonTextChar"/>
    <w:uiPriority w:val="99"/>
    <w:semiHidden/>
    <w:qFormat/>
    <w:rsid w:val="008f510c"/>
    <w:pPr/>
    <w:rPr>
      <w:rFonts w:ascii="Segoe UI" w:hAnsi="Segoe UI" w:cs="Segoe UI"/>
      <w:sz w:val="18"/>
      <w:szCs w:val="18"/>
    </w:rPr>
  </w:style>
  <w:style w:type="paragraph" w:styleId="BodyTextIndent2">
    <w:name w:val="Body Text Indent 2"/>
    <w:basedOn w:val="Normal"/>
    <w:link w:val="BodyTextIndent2Char"/>
    <w:uiPriority w:val="99"/>
    <w:qFormat/>
    <w:rsid w:val="00280a76"/>
    <w:pPr>
      <w:spacing w:lineRule="auto" w:line="480" w:before="0" w:after="120"/>
      <w:ind w:left="283" w:hanging="0"/>
    </w:pPr>
    <w:rPr>
      <w:sz w:val="20"/>
      <w:szCs w:val="20"/>
      <w:lang w:val="uk-UA"/>
    </w:rPr>
  </w:style>
  <w:style w:type="paragraph" w:styleId="Style20">
    <w:name w:val="Title"/>
    <w:basedOn w:val="Normal"/>
    <w:qFormat/>
    <w:pPr>
      <w:jc w:val="center"/>
    </w:pPr>
    <w:rPr>
      <w:sz w:val="28"/>
      <w:lang w:eastAsia="ru-RU"/>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image" Target="media/image2.wmf"/><Relationship Id="rId4" Type="http://schemas.openxmlformats.org/officeDocument/2006/relationships/image" Target="media/image3.wmf"/><Relationship Id="rId5" Type="http://schemas.openxmlformats.org/officeDocument/2006/relationships/image" Target="media/image4.wmf"/><Relationship Id="rId6" Type="http://schemas.openxmlformats.org/officeDocument/2006/relationships/image" Target="media/image5.png"/><Relationship Id="rId7" Type="http://schemas.openxmlformats.org/officeDocument/2006/relationships/image" Target="media/image6.wmf"/><Relationship Id="rId8" Type="http://schemas.openxmlformats.org/officeDocument/2006/relationships/image" Target="media/image7.wmf"/><Relationship Id="rId9" Type="http://schemas.openxmlformats.org/officeDocument/2006/relationships/oleObject" Target="embeddings/oleObject1.xls"/><Relationship Id="rId10" Type="http://schemas.openxmlformats.org/officeDocument/2006/relationships/image" Target="media/image8.png"/><Relationship Id="rId11" Type="http://schemas.openxmlformats.org/officeDocument/2006/relationships/oleObject" Target="embeddings/oleObject2.xls"/><Relationship Id="rId12" Type="http://schemas.openxmlformats.org/officeDocument/2006/relationships/image" Target="media/image9.png"/><Relationship Id="rId13" Type="http://schemas.openxmlformats.org/officeDocument/2006/relationships/oleObject" Target="embeddings/oleObject3.xls"/><Relationship Id="rId14" Type="http://schemas.openxmlformats.org/officeDocument/2006/relationships/image" Target="media/image10.png"/><Relationship Id="rId15" Type="http://schemas.openxmlformats.org/officeDocument/2006/relationships/oleObject" Target="embeddings/oleObject4.xls"/><Relationship Id="rId16" Type="http://schemas.openxmlformats.org/officeDocument/2006/relationships/image" Target="media/image11.png"/><Relationship Id="rId17" Type="http://schemas.openxmlformats.org/officeDocument/2006/relationships/oleObject" Target="embeddings/oleObject5.xls"/><Relationship Id="rId18" Type="http://schemas.openxmlformats.org/officeDocument/2006/relationships/image" Target="media/image12.png"/><Relationship Id="rId19" Type="http://schemas.openxmlformats.org/officeDocument/2006/relationships/image" Target="media/image13.wmf"/><Relationship Id="rId20" Type="http://schemas.openxmlformats.org/officeDocument/2006/relationships/oleObject" Target="embeddings/oleObject6.xls"/><Relationship Id="rId21" Type="http://schemas.openxmlformats.org/officeDocument/2006/relationships/image" Target="media/image14.png"/><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1041</TotalTime>
  <Application>LibreOffice/6.3.2.2$Windows_x86 LibreOffice_project/98b30e735bda24bc04ab42594c85f7fd8be07b9c</Application>
  <Pages>18</Pages>
  <Words>4858</Words>
  <Characters>31780</Characters>
  <CharactersWithSpaces>37537</CharactersWithSpaces>
  <Paragraphs>146</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2020-01-13T07:21:00Z</dcterms:created>
  <dc:creator>1</dc:creator>
  <dc:description/>
  <dc:language>uk-UA</dc:language>
  <cp:lastModifiedBy/>
  <cp:lastPrinted>2020-01-16T07:03:00Z</cp:lastPrinted>
  <dcterms:modified xsi:type="dcterms:W3CDTF">2020-01-24T16:26:29Z</dcterms:modified>
  <cp:revision>31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